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C3" w:rsidRPr="00D45EF3" w:rsidRDefault="00D05EC3" w:rsidP="00AC425D">
      <w:pPr>
        <w:pStyle w:val="a3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Pr="00D45EF3">
        <w:rPr>
          <w:rFonts w:eastAsia="標楷體"/>
          <w:b/>
          <w:sz w:val="36"/>
          <w:szCs w:val="36"/>
        </w:rPr>
        <w:t>10</w:t>
      </w:r>
      <w:r w:rsidR="00863860">
        <w:rPr>
          <w:rFonts w:eastAsia="標楷體" w:hint="eastAsia"/>
          <w:b/>
          <w:sz w:val="36"/>
          <w:szCs w:val="36"/>
        </w:rPr>
        <w:t>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406950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D05EC3" w:rsidRPr="0027445A" w:rsidTr="00AC425D">
        <w:trPr>
          <w:trHeight w:val="707"/>
          <w:jc w:val="center"/>
        </w:trPr>
        <w:tc>
          <w:tcPr>
            <w:tcW w:w="2421" w:type="dxa"/>
            <w:vAlign w:val="center"/>
          </w:tcPr>
          <w:p w:rsidR="00D05EC3" w:rsidRPr="0027445A" w:rsidRDefault="00D05EC3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05EC3" w:rsidRPr="0027445A" w:rsidRDefault="004C1668" w:rsidP="00863860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H</w:t>
            </w:r>
            <w:r w:rsidR="00863860">
              <w:rPr>
                <w:rFonts w:eastAsia="標楷體" w:hint="eastAsia"/>
                <w:b/>
                <w:color w:val="000000"/>
                <w:sz w:val="28"/>
              </w:rPr>
              <w:t>3</w:t>
            </w:r>
            <w:r w:rsidR="00AB3F69">
              <w:rPr>
                <w:rFonts w:eastAsia="標楷體" w:hint="eastAsia"/>
                <w:b/>
                <w:color w:val="000000"/>
                <w:sz w:val="28"/>
              </w:rPr>
              <w:t>04</w:t>
            </w:r>
            <w:r w:rsidR="00D05EC3">
              <w:rPr>
                <w:rFonts w:eastAsia="標楷體" w:hint="eastAsia"/>
                <w:b/>
                <w:color w:val="000000"/>
                <w:sz w:val="28"/>
              </w:rPr>
              <w:t>,H</w:t>
            </w:r>
            <w:r w:rsidR="00863860">
              <w:rPr>
                <w:rFonts w:eastAsia="標楷體" w:hint="eastAsia"/>
                <w:b/>
                <w:color w:val="000000"/>
                <w:sz w:val="28"/>
              </w:rPr>
              <w:t>3</w:t>
            </w:r>
            <w:r w:rsidR="00AB3F69">
              <w:rPr>
                <w:rFonts w:eastAsia="標楷體" w:hint="eastAsia"/>
                <w:b/>
                <w:color w:val="000000"/>
                <w:sz w:val="28"/>
              </w:rPr>
              <w:t>08</w:t>
            </w:r>
            <w:r w:rsidR="00D05EC3">
              <w:rPr>
                <w:rFonts w:eastAsia="標楷體" w:hint="eastAsia"/>
                <w:b/>
                <w:color w:val="000000"/>
                <w:sz w:val="28"/>
              </w:rPr>
              <w:t>,H</w:t>
            </w:r>
            <w:r w:rsidR="00863860">
              <w:rPr>
                <w:rFonts w:eastAsia="標楷體" w:hint="eastAsia"/>
                <w:b/>
                <w:color w:val="000000"/>
                <w:sz w:val="28"/>
              </w:rPr>
              <w:t>3</w:t>
            </w:r>
            <w:r>
              <w:rPr>
                <w:rFonts w:eastAsia="標楷體" w:hint="eastAsia"/>
                <w:b/>
                <w:color w:val="000000"/>
                <w:sz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D05EC3" w:rsidRPr="0027445A" w:rsidRDefault="00D05EC3" w:rsidP="00AC42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/>
                <w:color w:val="000000"/>
                <w:sz w:val="28"/>
              </w:rPr>
              <w:t>老師</w:t>
            </w:r>
          </w:p>
          <w:p w:rsidR="00D05EC3" w:rsidRPr="0027445A" w:rsidRDefault="00D05EC3" w:rsidP="00AC42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05EC3" w:rsidRPr="001D7716" w:rsidRDefault="004C1668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李金娟</w:t>
            </w:r>
          </w:p>
        </w:tc>
        <w:tc>
          <w:tcPr>
            <w:tcW w:w="709" w:type="dxa"/>
            <w:vAlign w:val="center"/>
          </w:tcPr>
          <w:p w:rsidR="00D05EC3" w:rsidRPr="0027445A" w:rsidRDefault="00D05EC3" w:rsidP="00AC425D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05EC3" w:rsidRPr="001D7716" w:rsidRDefault="00D05EC3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英文</w:t>
            </w:r>
          </w:p>
        </w:tc>
      </w:tr>
      <w:tr w:rsidR="00D05EC3" w:rsidRPr="0027445A" w:rsidTr="00AC425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D05EC3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藉由多元及創新的課程，</w:t>
            </w:r>
            <w:r>
              <w:t>提升學生學習英文興趣，</w:t>
            </w:r>
            <w:r>
              <w:rPr>
                <w:rFonts w:hint="eastAsia"/>
              </w:rPr>
              <w:t>以加強</w:t>
            </w:r>
            <w:r>
              <w:t>聽、說、讀、寫四項語言</w:t>
            </w:r>
            <w:r>
              <w:rPr>
                <w:rFonts w:hint="eastAsia"/>
              </w:rPr>
              <w:t>能力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拓展學生國際視野，孕育跨文化的世界觀。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t>增</w:t>
            </w:r>
            <w:r>
              <w:rPr>
                <w:rFonts w:hint="eastAsia"/>
              </w:rPr>
              <w:t>進</w:t>
            </w:r>
            <w:r w:rsidRPr="008E6E20">
              <w:t>學生公開表達的能力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 w:rsidRPr="008E6E20">
              <w:t>激發學生創意思考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 w:rsidRPr="008E6E20">
              <w:t>涵養品格與道德教育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t>厚植大直學子</w:t>
            </w:r>
            <w:r w:rsidRPr="008E6E20">
              <w:rPr>
                <w:rFonts w:hint="eastAsia"/>
              </w:rPr>
              <w:t>成為</w:t>
            </w:r>
            <w:r w:rsidRPr="008E6E20">
              <w:t>新世紀人才之「八大關鍵能力」</w:t>
            </w:r>
            <w:r w:rsidRPr="008E6E20">
              <w:t xml:space="preserve"> </w:t>
            </w:r>
          </w:p>
          <w:p w:rsidR="00D05EC3" w:rsidRPr="008E6E20" w:rsidRDefault="00D05EC3" w:rsidP="00AC425D">
            <w:pPr>
              <w:ind w:left="480"/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rPr>
                <w:rFonts w:hint="eastAsia"/>
              </w:rPr>
              <w:t xml:space="preserve">   </w:t>
            </w:r>
            <w:r w:rsidRPr="008E6E20">
              <w:t>(</w:t>
            </w:r>
            <w:r w:rsidRPr="008E6E20">
              <w:rPr>
                <w:rFonts w:ascii="細明體" w:eastAsia="細明體" w:hAnsi="細明體" w:cs="新細明體"/>
                <w:kern w:val="0"/>
              </w:rPr>
              <w:t>人際溝通、藝術鑑賞、創造思考、團隊合作、問題解決、規劃組織、</w:t>
            </w:r>
          </w:p>
          <w:p w:rsidR="00D05EC3" w:rsidRDefault="00D05EC3" w:rsidP="00AC425D">
            <w:pPr>
              <w:spacing w:line="48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8E6E2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 w:rsidRPr="008E6E20">
              <w:rPr>
                <w:rFonts w:ascii="細明體" w:eastAsia="細明體" w:hAnsi="細明體" w:cs="新細明體"/>
                <w:kern w:val="0"/>
              </w:rPr>
              <w:t>口語圖文傳播及資料蒐集分析</w:t>
            </w:r>
            <w:r w:rsidRPr="008E6E20">
              <w:rPr>
                <w:rFonts w:ascii="細明體" w:eastAsia="細明體" w:hAnsi="細明體"/>
              </w:rPr>
              <w:t>等八大能力)</w:t>
            </w:r>
            <w:r w:rsidRPr="008E6E20">
              <w:rPr>
                <w:rFonts w:ascii="細明體" w:eastAsia="細明體" w:hAnsi="細明體" w:hint="eastAsia"/>
              </w:rPr>
              <w:t>。</w:t>
            </w:r>
          </w:p>
          <w:p w:rsidR="00D05EC3" w:rsidRPr="009318B4" w:rsidRDefault="00D05EC3" w:rsidP="00AC425D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</w:p>
        </w:tc>
      </w:tr>
      <w:tr w:rsidR="00D05EC3" w:rsidRPr="0027445A" w:rsidTr="00AC425D">
        <w:trPr>
          <w:trHeight w:val="604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D05EC3" w:rsidP="00863860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龍騰課本第</w:t>
            </w:r>
            <w:r w:rsidR="00406950">
              <w:rPr>
                <w:rFonts w:ascii="Arial Black" w:eastAsia="華康中黑體" w:hAnsi="Arial Black" w:hint="eastAsia"/>
              </w:rPr>
              <w:t>六</w:t>
            </w:r>
            <w:r>
              <w:rPr>
                <w:rFonts w:ascii="Arial Black" w:eastAsia="華康中黑體" w:hAnsi="Arial Black" w:hint="eastAsia"/>
              </w:rPr>
              <w:t>冊</w:t>
            </w:r>
            <w:r>
              <w:rPr>
                <w:rFonts w:ascii="Arial Black" w:eastAsia="華康中黑體" w:hAnsi="Arial Black" w:hint="eastAsia"/>
              </w:rPr>
              <w:t xml:space="preserve">/ </w:t>
            </w:r>
            <w:r>
              <w:rPr>
                <w:rFonts w:ascii="Arial Black" w:eastAsia="華康中黑體" w:hAnsi="Arial Black" w:hint="eastAsia"/>
              </w:rPr>
              <w:t>英文聽力雜誌</w:t>
            </w:r>
            <w:r w:rsidR="00863860">
              <w:rPr>
                <w:rFonts w:ascii="Arial Black" w:eastAsia="華康中黑體" w:hAnsi="Arial Black" w:hint="eastAsia"/>
              </w:rPr>
              <w:t xml:space="preserve">Ivy </w:t>
            </w:r>
            <w:r w:rsidR="00574A6B">
              <w:rPr>
                <w:rFonts w:ascii="Arial Black" w:eastAsia="華康中黑體" w:hAnsi="Arial Black" w:hint="eastAsia"/>
              </w:rPr>
              <w:t>/ Vocabulary 1900</w:t>
            </w:r>
          </w:p>
        </w:tc>
      </w:tr>
      <w:tr w:rsidR="00D05EC3" w:rsidRPr="0027445A" w:rsidTr="00AC425D">
        <w:trPr>
          <w:trHeight w:val="652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ED37CA" w:rsidRPr="00ED37CA" w:rsidRDefault="00ED37CA" w:rsidP="00ED37CA">
            <w:pPr>
              <w:numPr>
                <w:ilvl w:val="0"/>
                <w:numId w:val="6"/>
              </w:numPr>
              <w:tabs>
                <w:tab w:val="left" w:pos="1232"/>
              </w:tabs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課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內：</w:t>
            </w:r>
            <w:r w:rsidRPr="00ED37CA">
              <w:rPr>
                <w:rFonts w:ascii="標楷體" w:eastAsia="標楷體"/>
                <w:sz w:val="28"/>
                <w:szCs w:val="20"/>
              </w:rPr>
              <w:t>a.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每課習題、習作、句型。</w:t>
            </w:r>
          </w:p>
          <w:p w:rsidR="00ED37CA" w:rsidRPr="00ED37CA" w:rsidRDefault="00ED37CA" w:rsidP="00ED37CA">
            <w:pPr>
              <w:numPr>
                <w:ilvl w:val="0"/>
                <w:numId w:val="6"/>
              </w:num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ED37CA">
              <w:rPr>
                <w:rFonts w:ascii="標楷體" w:eastAsia="標楷體" w:hint="eastAsia"/>
                <w:sz w:val="28"/>
                <w:szCs w:val="20"/>
              </w:rPr>
              <w:t>課外：</w:t>
            </w:r>
            <w:r w:rsidRPr="00ED37CA">
              <w:rPr>
                <w:rFonts w:eastAsia="標楷體"/>
                <w:sz w:val="28"/>
                <w:szCs w:val="20"/>
              </w:rPr>
              <w:t xml:space="preserve">a. 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每日收聽英語教學雜誌並輔以週考。</w:t>
            </w:r>
          </w:p>
          <w:p w:rsidR="00D05EC3" w:rsidRPr="0033457B" w:rsidRDefault="00ED37CA" w:rsidP="00863860">
            <w:pPr>
              <w:spacing w:line="400" w:lineRule="exact"/>
              <w:ind w:left="1540" w:hangingChars="550" w:hanging="1540"/>
              <w:rPr>
                <w:rFonts w:ascii="Arial Black" w:eastAsia="華康中黑體" w:hAnsi="Arial Black"/>
              </w:rPr>
            </w:pPr>
            <w:r w:rsidRPr="00ED37CA">
              <w:rPr>
                <w:rFonts w:ascii="標楷體" w:eastAsia="標楷體" w:hint="eastAsia"/>
                <w:sz w:val="28"/>
                <w:szCs w:val="20"/>
              </w:rPr>
              <w:t xml:space="preserve">         </w:t>
            </w:r>
            <w:r w:rsidRPr="00ED37CA">
              <w:rPr>
                <w:rFonts w:ascii="標楷體" w:eastAsia="標楷體"/>
                <w:sz w:val="28"/>
                <w:szCs w:val="20"/>
              </w:rPr>
              <w:t>b.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英文寫作</w:t>
            </w:r>
            <w:r w:rsidR="00863860">
              <w:rPr>
                <w:rFonts w:ascii="標楷體" w:eastAsia="標楷體" w:hint="eastAsia"/>
                <w:sz w:val="28"/>
                <w:szCs w:val="20"/>
              </w:rPr>
              <w:t>特訓(Translation and Writing)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 w:rsidR="00AB3F69">
              <w:rPr>
                <w:rFonts w:ascii="標楷體" w:eastAsia="標楷體" w:hint="eastAsia"/>
                <w:sz w:val="28"/>
                <w:szCs w:val="20"/>
              </w:rPr>
              <w:t>閱讀練習</w:t>
            </w:r>
            <w:r w:rsidR="00863860">
              <w:rPr>
                <w:rFonts w:ascii="標楷體" w:eastAsia="標楷體" w:hint="eastAsia"/>
                <w:sz w:val="28"/>
                <w:szCs w:val="20"/>
              </w:rPr>
              <w:t>(Reading Master)</w:t>
            </w:r>
            <w:r w:rsidR="00AB3F69"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 w:rsidRPr="00ED37CA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作業</w:t>
            </w:r>
            <w:r w:rsidR="00863860">
              <w:rPr>
                <w:rFonts w:ascii="標楷體" w:eastAsia="標楷體" w:hint="eastAsia"/>
                <w:sz w:val="28"/>
                <w:szCs w:val="20"/>
              </w:rPr>
              <w:t>(English translation ,composition and pattern practice)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。</w:t>
            </w:r>
            <w:r w:rsidR="00D05EC3">
              <w:rPr>
                <w:rFonts w:ascii="Arial Black" w:eastAsia="華康中黑體" w:hAnsi="Arial Black" w:hint="eastAsia"/>
              </w:rPr>
              <w:t xml:space="preserve"> </w:t>
            </w:r>
          </w:p>
        </w:tc>
      </w:tr>
      <w:tr w:rsidR="00D05EC3" w:rsidRPr="0027445A" w:rsidTr="00AC425D">
        <w:trPr>
          <w:trHeight w:val="1126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05EC3" w:rsidRPr="00BF3AFF" w:rsidRDefault="00D05EC3" w:rsidP="00AC425D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037F87" w:rsidRDefault="00D05EC3" w:rsidP="00AC425D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上課評量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作業繳交</w:t>
            </w:r>
          </w:p>
        </w:tc>
      </w:tr>
      <w:tr w:rsidR="00D05EC3" w:rsidRPr="0027445A" w:rsidTr="00AC425D">
        <w:trPr>
          <w:trHeight w:val="1058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406950" w:rsidP="00406950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兩次</w:t>
            </w:r>
            <w:r w:rsidR="00D05EC3">
              <w:rPr>
                <w:rFonts w:ascii="Arial Black" w:eastAsia="華康中黑體" w:hAnsi="Arial Black" w:hint="eastAsia"/>
              </w:rPr>
              <w:t>期中考</w:t>
            </w:r>
            <w:r>
              <w:rPr>
                <w:rFonts w:ascii="Arial Black" w:eastAsia="華康中黑體" w:hAnsi="Arial Black" w:hint="eastAsia"/>
              </w:rPr>
              <w:t>各</w:t>
            </w:r>
            <w:r>
              <w:rPr>
                <w:rFonts w:ascii="Arial Black" w:eastAsia="華康中黑體" w:hAnsi="Arial Black" w:hint="eastAsia"/>
              </w:rPr>
              <w:t>3</w:t>
            </w:r>
            <w:r w:rsidR="00D05EC3">
              <w:rPr>
                <w:rFonts w:ascii="Arial Black" w:eastAsia="華康中黑體" w:hAnsi="Arial Black" w:hint="eastAsia"/>
              </w:rPr>
              <w:t>0%</w:t>
            </w:r>
            <w:r w:rsidR="00AB3F69"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 w:rsidR="00D05EC3"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="00D05EC3"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</w:t>
            </w:r>
            <w:r>
              <w:rPr>
                <w:rFonts w:ascii="Arial Black" w:eastAsia="華康中黑體" w:hAnsi="Arial Black" w:hint="eastAsia"/>
              </w:rPr>
              <w:t>4</w:t>
            </w:r>
            <w:r w:rsidR="00930E40">
              <w:rPr>
                <w:rFonts w:ascii="Arial Black" w:eastAsia="華康中黑體" w:hAnsi="Arial Black" w:hint="eastAsia"/>
              </w:rPr>
              <w:t>0</w:t>
            </w:r>
            <w:r w:rsidR="00D05E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</w:tc>
      </w:tr>
      <w:tr w:rsidR="00D05EC3" w:rsidRPr="0027445A" w:rsidTr="00AC425D">
        <w:trPr>
          <w:trHeight w:val="1253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0223F9" w:rsidRPr="000223F9" w:rsidRDefault="000223F9" w:rsidP="000223F9">
            <w:pPr>
              <w:numPr>
                <w:ilvl w:val="0"/>
                <w:numId w:val="5"/>
              </w:numPr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 w:eastAsia="標楷體"/>
                <w:sz w:val="28"/>
                <w:szCs w:val="2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注重師生間良好互動關係，除了知識的傳授外，更應隨時鼓勵和關懷。</w:t>
            </w:r>
          </w:p>
          <w:p w:rsidR="000223F9" w:rsidRPr="000223F9" w:rsidRDefault="000223F9" w:rsidP="000223F9">
            <w:pPr>
              <w:numPr>
                <w:ilvl w:val="0"/>
                <w:numId w:val="5"/>
              </w:num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提昇學習動機，讓學生對英文保持高度的興趣與熱忱。</w:t>
            </w:r>
          </w:p>
          <w:p w:rsidR="00D05EC3" w:rsidRPr="000223F9" w:rsidRDefault="000223F9" w:rsidP="000223F9">
            <w:pPr>
              <w:pStyle w:val="a6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華康中黑體" w:eastAsia="華康中黑體" w:hAnsi="Arial Black"/>
                <w:bCs/>
                <w:color w:val="00000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引導學生培養自己獨立學習的態度。</w:t>
            </w:r>
          </w:p>
        </w:tc>
      </w:tr>
      <w:tr w:rsidR="00D05EC3" w:rsidRPr="0027445A" w:rsidTr="00AC425D">
        <w:trPr>
          <w:trHeight w:val="1060"/>
          <w:jc w:val="center"/>
        </w:trPr>
        <w:tc>
          <w:tcPr>
            <w:tcW w:w="2421" w:type="dxa"/>
            <w:vAlign w:val="center"/>
          </w:tcPr>
          <w:p w:rsidR="00D05EC3" w:rsidRPr="00574A6B" w:rsidRDefault="00D05EC3" w:rsidP="00574A6B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574A6B">
              <w:rPr>
                <w:rFonts w:ascii="標楷體" w:eastAsia="標楷體" w:hint="eastAsia"/>
              </w:rPr>
              <w:t>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574A6B" w:rsidRPr="00574A6B" w:rsidRDefault="00574A6B" w:rsidP="00574A6B">
            <w:pPr>
              <w:snapToGrid w:val="0"/>
              <w:spacing w:beforeLines="50" w:before="180"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1.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讓學生在日常生活上多接觸英文方面的資訊。</w:t>
            </w:r>
          </w:p>
          <w:p w:rsidR="00574A6B" w:rsidRPr="00574A6B" w:rsidRDefault="00574A6B" w:rsidP="00574A6B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2.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督促學生每日按時聽課本or雜誌所附CD。</w:t>
            </w:r>
          </w:p>
          <w:p w:rsidR="00D05EC3" w:rsidRPr="00574A6B" w:rsidRDefault="00574A6B" w:rsidP="00574A6B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3.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確立學生預習、複習的好習慣。</w:t>
            </w:r>
          </w:p>
        </w:tc>
      </w:tr>
      <w:tr w:rsidR="00D05EC3" w:rsidRPr="0027445A" w:rsidTr="00AC425D">
        <w:trPr>
          <w:trHeight w:val="970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ED37CA" w:rsidP="00132D9E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(</w:t>
            </w:r>
            <w:r w:rsidRPr="00ED37CA">
              <w:rPr>
                <w:rFonts w:ascii="Arial Black" w:eastAsia="華康中黑體" w:hAnsi="Arial Black" w:hint="eastAsia"/>
                <w:b/>
              </w:rPr>
              <w:t>0)25</w:t>
            </w:r>
            <w:r>
              <w:rPr>
                <w:rFonts w:ascii="Arial Black" w:eastAsia="華康中黑體" w:hAnsi="Arial Black" w:hint="eastAsia"/>
                <w:b/>
              </w:rPr>
              <w:t>334017-213  (</w:t>
            </w:r>
            <w:r w:rsidR="00132D9E">
              <w:rPr>
                <w:rFonts w:ascii="Arial Black" w:eastAsia="華康中黑體" w:hAnsi="Arial Black" w:hint="eastAsia"/>
                <w:b/>
              </w:rPr>
              <w:t>C</w:t>
            </w:r>
            <w:r>
              <w:rPr>
                <w:rFonts w:ascii="Arial Black" w:eastAsia="華康中黑體" w:hAnsi="Arial Black" w:hint="eastAsia"/>
                <w:b/>
              </w:rPr>
              <w:t>)0921420189</w:t>
            </w:r>
          </w:p>
        </w:tc>
      </w:tr>
    </w:tbl>
    <w:p w:rsidR="00AB3F69" w:rsidRPr="00AB3F69" w:rsidRDefault="00AB3F69" w:rsidP="00AB3F69"/>
    <w:p w:rsidR="005753A7" w:rsidRDefault="005753A7" w:rsidP="005753A7">
      <w:pPr>
        <w:spacing w:before="120" w:line="360" w:lineRule="exact"/>
        <w:rPr>
          <w:sz w:val="28"/>
          <w:szCs w:val="28"/>
        </w:rPr>
      </w:pPr>
    </w:p>
    <w:tbl>
      <w:tblPr>
        <w:tblW w:w="11955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94"/>
        <w:gridCol w:w="398"/>
        <w:gridCol w:w="201"/>
        <w:gridCol w:w="30"/>
        <w:gridCol w:w="168"/>
        <w:gridCol w:w="398"/>
        <w:gridCol w:w="398"/>
        <w:gridCol w:w="398"/>
        <w:gridCol w:w="398"/>
        <w:gridCol w:w="374"/>
        <w:gridCol w:w="3787"/>
        <w:gridCol w:w="577"/>
        <w:gridCol w:w="1163"/>
        <w:gridCol w:w="2909"/>
        <w:gridCol w:w="12"/>
      </w:tblGrid>
      <w:tr w:rsidR="00406950" w:rsidTr="00E751DF">
        <w:trPr>
          <w:cantSplit/>
          <w:trHeight w:val="20"/>
          <w:jc w:val="center"/>
        </w:trPr>
        <w:tc>
          <w:tcPr>
            <w:tcW w:w="112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950" w:rsidRDefault="00406950" w:rsidP="00E751DF">
            <w:pPr>
              <w:snapToGrid w:val="0"/>
              <w:ind w:left="210" w:right="21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br w:type="page"/>
            </w:r>
            <w:r>
              <w:rPr>
                <w:rFonts w:eastAsia="標楷體" w:hint="eastAsia"/>
                <w:b/>
                <w:sz w:val="32"/>
                <w:szCs w:val="32"/>
              </w:rPr>
              <w:t>【教學進度表】</w:t>
            </w:r>
          </w:p>
        </w:tc>
      </w:tr>
      <w:tr w:rsidR="00406950" w:rsidTr="00E751DF">
        <w:trPr>
          <w:cantSplit/>
          <w:trHeight w:val="722"/>
          <w:jc w:val="center"/>
        </w:trPr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0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rFonts w:eastAsia="標楷體"/>
                <w:sz w:val="18"/>
                <w:szCs w:val="18"/>
              </w:rPr>
              <w:t>2.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rFonts w:eastAsia="標楷體"/>
                <w:sz w:val="18"/>
                <w:szCs w:val="18"/>
              </w:rPr>
              <w:t>3.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rFonts w:eastAsia="標楷體"/>
                <w:sz w:val="18"/>
                <w:szCs w:val="18"/>
              </w:rPr>
              <w:t>4.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rFonts w:eastAsia="標楷體"/>
                <w:sz w:val="18"/>
                <w:szCs w:val="18"/>
              </w:rPr>
              <w:t>5.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>
                <w:rPr>
                  <w:rStyle w:val="a5"/>
                  <w:rFonts w:eastAsia="標楷體" w:hAnsi="標楷體" w:hint="eastAsia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>
              <w:rPr>
                <w:rFonts w:eastAsia="標楷體"/>
                <w:sz w:val="18"/>
                <w:szCs w:val="18"/>
              </w:rPr>
              <w:t>7.</w:t>
            </w:r>
            <w:r>
              <w:rPr>
                <w:rFonts w:eastAsia="標楷體" w:hAnsi="標楷體" w:hint="eastAsia"/>
                <w:sz w:val="18"/>
                <w:szCs w:val="18"/>
              </w:rPr>
              <w:t>生命教育</w:t>
            </w:r>
          </w:p>
          <w:p w:rsidR="00406950" w:rsidRDefault="00406950" w:rsidP="00E751D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>
                <w:rPr>
                  <w:rStyle w:val="a5"/>
                  <w:rFonts w:eastAsia="標楷體" w:hAnsi="標楷體" w:hint="eastAsia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>
              <w:rPr>
                <w:rFonts w:eastAsia="標楷體"/>
                <w:sz w:val="18"/>
                <w:szCs w:val="18"/>
              </w:rPr>
              <w:t>9.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rFonts w:eastAsia="標楷體"/>
                <w:sz w:val="18"/>
                <w:szCs w:val="18"/>
              </w:rPr>
              <w:t>10.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rFonts w:eastAsia="標楷體"/>
                <w:sz w:val="18"/>
                <w:szCs w:val="18"/>
              </w:rPr>
              <w:t>11.</w:t>
            </w:r>
            <w:r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>
              <w:rPr>
                <w:rFonts w:eastAsia="標楷體"/>
                <w:sz w:val="18"/>
                <w:szCs w:val="18"/>
              </w:rPr>
              <w:t>12.</w:t>
            </w:r>
            <w:r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406950" w:rsidRDefault="00406950" w:rsidP="00E751D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13.</w:t>
            </w:r>
            <w:r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>
              <w:rPr>
                <w:rFonts w:eastAsia="標楷體"/>
                <w:sz w:val="18"/>
                <w:szCs w:val="18"/>
              </w:rPr>
              <w:t>14.</w:t>
            </w:r>
            <w:r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rFonts w:eastAsia="標楷體"/>
                <w:sz w:val="18"/>
                <w:szCs w:val="18"/>
              </w:rPr>
              <w:t>15.</w:t>
            </w:r>
            <w:r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/>
                <w:sz w:val="18"/>
                <w:szCs w:val="18"/>
              </w:rPr>
              <w:t xml:space="preserve">   16.</w:t>
            </w:r>
            <w:r>
              <w:rPr>
                <w:rFonts w:eastAsia="標楷體" w:hAnsi="標楷體" w:hint="eastAsia"/>
                <w:sz w:val="18"/>
                <w:szCs w:val="18"/>
              </w:rPr>
              <w:t>其他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 w:hAnsi="標楷體" w:hint="eastAsia"/>
                <w:sz w:val="18"/>
                <w:szCs w:val="18"/>
              </w:rPr>
              <w:t>請說明</w:t>
            </w:r>
            <w:r>
              <w:rPr>
                <w:rFonts w:eastAsia="標楷體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rFonts w:eastAsia="標楷體"/>
                <w:sz w:val="18"/>
                <w:szCs w:val="18"/>
                <w:u w:val="single"/>
              </w:rPr>
              <w:t>….</w:t>
            </w:r>
            <w:r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406950" w:rsidTr="00E751DF">
        <w:trPr>
          <w:cantSplit/>
          <w:trHeight w:val="53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週</w:t>
            </w:r>
          </w:p>
          <w:p w:rsidR="00406950" w:rsidRDefault="00406950" w:rsidP="00E751D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預定進度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資訊融入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議題融入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重要行事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7030A0"/>
                <w:sz w:val="20"/>
              </w:rPr>
            </w:pPr>
            <w:r>
              <w:rPr>
                <w:rFonts w:eastAsia="標楷體" w:hint="eastAsia"/>
                <w:b/>
                <w:color w:val="7030A0"/>
                <w:sz w:val="20"/>
              </w:rPr>
              <w:t>ㄧ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7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學測複習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21-27</w:t>
            </w:r>
            <w:r>
              <w:rPr>
                <w:rFonts w:ascii="標楷體" w:eastAsia="標楷體" w:hAnsi="標楷體" w:hint="eastAsia"/>
                <w:sz w:val="20"/>
              </w:rPr>
              <w:t>下學期第第1,2週</w:t>
            </w:r>
          </w:p>
          <w:p w:rsidR="00406950" w:rsidRDefault="00406950" w:rsidP="00E751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學測複習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28</w:t>
            </w:r>
            <w:r>
              <w:rPr>
                <w:rFonts w:ascii="標楷體" w:eastAsia="標楷體" w:hAnsi="標楷體" w:hint="eastAsia"/>
                <w:sz w:val="20"/>
              </w:rPr>
              <w:t>寒假開始</w:t>
            </w:r>
          </w:p>
          <w:p w:rsidR="00406950" w:rsidRDefault="00406950" w:rsidP="00E751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21-27</w:t>
            </w:r>
            <w:r>
              <w:rPr>
                <w:rFonts w:ascii="標楷體" w:eastAsia="標楷體" w:hAnsi="標楷體" w:hint="eastAsia"/>
                <w:sz w:val="20"/>
              </w:rPr>
              <w:t>下學期第第1,2週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7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>
              <w:rPr>
                <w:rFonts w:eastAsia="標楷體"/>
                <w:sz w:val="22"/>
                <w:u w:val="double"/>
              </w:rPr>
              <w:t>24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1  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24</w:t>
            </w:r>
            <w:r>
              <w:rPr>
                <w:rFonts w:ascii="標楷體" w:eastAsia="標楷體" w:hAnsi="標楷體" w:hint="eastAsia"/>
                <w:sz w:val="20"/>
              </w:rPr>
              <w:t>開學、10:10正式上課、</w:t>
            </w:r>
          </w:p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高一二複習考16:00放學</w:t>
            </w:r>
          </w:p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27</w:t>
            </w:r>
            <w:r>
              <w:rPr>
                <w:rFonts w:ascii="標楷體" w:eastAsia="標楷體" w:hAnsi="標楷體" w:hint="eastAsia"/>
                <w:sz w:val="20"/>
              </w:rPr>
              <w:t>彈性放假(補228和平紀念日)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高中輔導課開始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10-11</w:t>
            </w:r>
            <w:r>
              <w:rPr>
                <w:rFonts w:ascii="標楷體" w:eastAsia="標楷體" w:hAnsi="標楷體" w:hint="eastAsia"/>
                <w:sz w:val="20"/>
              </w:rPr>
              <w:t>高三第一次指考模擬考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24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Review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24-25</w:t>
            </w:r>
            <w:r>
              <w:rPr>
                <w:rFonts w:ascii="標楷體" w:eastAsia="標楷體" w:hAnsi="標楷體" w:hint="eastAsia"/>
                <w:spacing w:val="-2"/>
                <w:sz w:val="20"/>
              </w:rPr>
              <w:t>高三第一次期中</w:t>
            </w:r>
            <w:r>
              <w:rPr>
                <w:rFonts w:ascii="標楷體" w:eastAsia="標楷體" w:hAnsi="標楷體" w:hint="eastAsia"/>
                <w:sz w:val="20"/>
              </w:rPr>
              <w:t>考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29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31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31-1</w:t>
            </w:r>
            <w:r>
              <w:rPr>
                <w:rFonts w:ascii="標楷體" w:eastAsia="標楷體" w:hAnsi="標楷體" w:hint="eastAsia"/>
                <w:spacing w:val="-10"/>
                <w:sz w:val="20"/>
              </w:rPr>
              <w:t>高一二第一次期中</w:t>
            </w:r>
            <w:r>
              <w:rPr>
                <w:rFonts w:ascii="標楷體" w:eastAsia="標楷體" w:hAnsi="標楷體" w:hint="eastAsia"/>
                <w:sz w:val="20"/>
              </w:rPr>
              <w:t>考</w:t>
            </w:r>
          </w:p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彈性放假(4/4兒童節)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7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彈性放假(4/5民族掃墓節)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</w:pPr>
            <w:r>
              <w:t>18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14-17</w:t>
            </w:r>
            <w:r>
              <w:rPr>
                <w:rFonts w:ascii="標楷體" w:eastAsia="標楷體" w:hAnsi="標楷體" w:hint="eastAsia"/>
                <w:sz w:val="20"/>
              </w:rPr>
              <w:t>高二畢業旅行</w:t>
            </w:r>
          </w:p>
        </w:tc>
      </w:tr>
      <w:tr w:rsidR="00406950" w:rsidTr="00E751DF">
        <w:trPr>
          <w:cantSplit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Lesson 10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bdr w:val="single" w:sz="4" w:space="0" w:color="auto" w:frame="1"/>
              </w:rPr>
            </w:pPr>
          </w:p>
        </w:tc>
      </w:tr>
      <w:tr w:rsidR="00406950" w:rsidTr="00E751DF">
        <w:trPr>
          <w:cantSplit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Review for JCEE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27-28</w:t>
            </w:r>
            <w:r>
              <w:rPr>
                <w:rFonts w:ascii="標楷體" w:eastAsia="標楷體" w:hAnsi="標楷體" w:hint="eastAsia"/>
                <w:sz w:val="20"/>
              </w:rPr>
              <w:t>高三第二次指考模考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Review for JCEE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13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14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Review for JCEE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13-14</w:t>
            </w:r>
            <w:r>
              <w:rPr>
                <w:rFonts w:ascii="標楷體" w:eastAsia="標楷體" w:hAnsi="標楷體" w:hint="eastAsia"/>
                <w:sz w:val="20"/>
              </w:rPr>
              <w:t>高一二第二次期中考</w:t>
            </w:r>
          </w:p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13-14</w:t>
            </w:r>
            <w:r>
              <w:rPr>
                <w:rFonts w:ascii="標楷體" w:eastAsia="標楷體" w:hAnsi="標楷體" w:hint="eastAsia"/>
                <w:sz w:val="20"/>
              </w:rPr>
              <w:t>高三期末考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Review for JCEE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22</w:t>
            </w:r>
            <w:r>
              <w:rPr>
                <w:rFonts w:ascii="標楷體" w:eastAsia="標楷體" w:hAnsi="標楷體" w:hint="eastAsia"/>
                <w:sz w:val="20"/>
              </w:rPr>
              <w:t>高三輔導課結束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29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Review for JCEE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31</w:t>
            </w:r>
          </w:p>
        </w:tc>
        <w:tc>
          <w:tcPr>
            <w:tcW w:w="37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十八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0" w:rsidRDefault="00406950" w:rsidP="00E751D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18</w:t>
            </w:r>
            <w:r>
              <w:rPr>
                <w:rFonts w:ascii="標楷體" w:eastAsia="標楷體" w:hAnsi="標楷體" w:hint="eastAsia"/>
                <w:sz w:val="20"/>
              </w:rPr>
              <w:t xml:space="preserve">高一二輔導課結束 </w:t>
            </w:r>
          </w:p>
          <w:p w:rsidR="00406950" w:rsidRDefault="00406950" w:rsidP="00E751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19</w:t>
            </w:r>
            <w:r>
              <w:rPr>
                <w:rFonts w:ascii="標楷體" w:eastAsia="標楷體" w:hAnsi="標楷體" w:hint="eastAsia"/>
                <w:sz w:val="20"/>
              </w:rPr>
              <w:t>彈性放假(20端午節)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26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25-29</w:t>
            </w:r>
            <w:r>
              <w:rPr>
                <w:rFonts w:ascii="標楷體" w:eastAsia="標楷體" w:hAnsi="標楷體" w:hint="eastAsia"/>
                <w:sz w:val="20"/>
              </w:rPr>
              <w:t>高一二期末考</w:t>
            </w:r>
          </w:p>
        </w:tc>
      </w:tr>
      <w:tr w:rsidR="00406950" w:rsidTr="00E751DF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406950" w:rsidRDefault="00406950" w:rsidP="00E751D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0" w:rsidRDefault="00406950" w:rsidP="00E751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30</w:t>
            </w:r>
            <w:r>
              <w:rPr>
                <w:rFonts w:ascii="標楷體" w:eastAsia="標楷體" w:hAnsi="標楷體" w:hint="eastAsia"/>
                <w:sz w:val="20"/>
              </w:rPr>
              <w:t>休業式</w:t>
            </w:r>
          </w:p>
          <w:p w:rsidR="00406950" w:rsidRDefault="00406950" w:rsidP="00E751D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暑假開始</w:t>
            </w:r>
          </w:p>
        </w:tc>
      </w:tr>
      <w:tr w:rsidR="00406950" w:rsidTr="00E751DF">
        <w:trPr>
          <w:gridAfter w:val="1"/>
          <w:wAfter w:w="11" w:type="dxa"/>
          <w:cantSplit/>
          <w:trHeight w:val="1130"/>
          <w:jc w:val="center"/>
        </w:trPr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50" w:rsidRDefault="00406950" w:rsidP="00E751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9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50" w:rsidRDefault="00406950" w:rsidP="00E751D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七月重要行事：</w:t>
            </w:r>
          </w:p>
          <w:p w:rsidR="00406950" w:rsidRDefault="00406950" w:rsidP="00E751D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大學指考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公布補考名單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高一二上網查詢成績 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9-10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高一二補考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公布重修名單</w:t>
            </w:r>
          </w:p>
          <w:p w:rsidR="00406950" w:rsidRDefault="00406950" w:rsidP="00E751D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15-17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重修申請與繳費，寄發指考成績單</w:t>
            </w:r>
          </w:p>
          <w:p w:rsidR="00406950" w:rsidRDefault="00406950" w:rsidP="00E751D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高三暑期輔導開始、高一二重修開始</w:t>
            </w:r>
          </w:p>
        </w:tc>
      </w:tr>
    </w:tbl>
    <w:p w:rsidR="00406950" w:rsidRPr="0094391B" w:rsidRDefault="00406950" w:rsidP="00406950"/>
    <w:p w:rsidR="005753A7" w:rsidRPr="00406950" w:rsidRDefault="005753A7" w:rsidP="005753A7">
      <w:bookmarkStart w:id="0" w:name="_GoBack"/>
      <w:bookmarkEnd w:id="0"/>
    </w:p>
    <w:p w:rsidR="00AB3F69" w:rsidRPr="00FC0608" w:rsidRDefault="00AB3F69" w:rsidP="00AB3F69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sectPr w:rsidR="00AB3F69" w:rsidRPr="00FC0608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C" w:rsidRDefault="0055162C" w:rsidP="00930E40">
      <w:r>
        <w:separator/>
      </w:r>
    </w:p>
  </w:endnote>
  <w:endnote w:type="continuationSeparator" w:id="0">
    <w:p w:rsidR="0055162C" w:rsidRDefault="0055162C" w:rsidP="009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C" w:rsidRDefault="0055162C" w:rsidP="00930E40">
      <w:r>
        <w:separator/>
      </w:r>
    </w:p>
  </w:footnote>
  <w:footnote w:type="continuationSeparator" w:id="0">
    <w:p w:rsidR="0055162C" w:rsidRDefault="0055162C" w:rsidP="0093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B99"/>
    <w:multiLevelType w:val="hybridMultilevel"/>
    <w:tmpl w:val="CCEE4D76"/>
    <w:lvl w:ilvl="0" w:tplc="E64A50F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">
    <w:nsid w:val="113E1CBD"/>
    <w:multiLevelType w:val="hybridMultilevel"/>
    <w:tmpl w:val="40268574"/>
    <w:lvl w:ilvl="0" w:tplc="5BA8B30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A83970"/>
    <w:multiLevelType w:val="hybridMultilevel"/>
    <w:tmpl w:val="076E45CA"/>
    <w:lvl w:ilvl="0" w:tplc="84427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681FA1"/>
    <w:multiLevelType w:val="hybridMultilevel"/>
    <w:tmpl w:val="FC248E3C"/>
    <w:lvl w:ilvl="0" w:tplc="2432E7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F5007B"/>
    <w:multiLevelType w:val="hybridMultilevel"/>
    <w:tmpl w:val="4AAC122C"/>
    <w:lvl w:ilvl="0" w:tplc="6FB6224C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17F25"/>
    <w:multiLevelType w:val="hybridMultilevel"/>
    <w:tmpl w:val="52DAD26C"/>
    <w:lvl w:ilvl="0" w:tplc="065EBBA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924AD4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3"/>
    <w:rsid w:val="000223F9"/>
    <w:rsid w:val="00132D9E"/>
    <w:rsid w:val="00406950"/>
    <w:rsid w:val="004C1668"/>
    <w:rsid w:val="00520E65"/>
    <w:rsid w:val="0055162C"/>
    <w:rsid w:val="00574A6B"/>
    <w:rsid w:val="005753A7"/>
    <w:rsid w:val="005C2E00"/>
    <w:rsid w:val="00601511"/>
    <w:rsid w:val="00686FB4"/>
    <w:rsid w:val="006B21F6"/>
    <w:rsid w:val="007B571A"/>
    <w:rsid w:val="00863860"/>
    <w:rsid w:val="008909FB"/>
    <w:rsid w:val="00930E40"/>
    <w:rsid w:val="00A2229B"/>
    <w:rsid w:val="00AB3F69"/>
    <w:rsid w:val="00CB2166"/>
    <w:rsid w:val="00D05EC3"/>
    <w:rsid w:val="00ED37CA"/>
    <w:rsid w:val="00F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05EC3"/>
    <w:rPr>
      <w:szCs w:val="20"/>
    </w:rPr>
  </w:style>
  <w:style w:type="character" w:customStyle="1" w:styleId="a4">
    <w:name w:val="問候 字元"/>
    <w:basedOn w:val="a0"/>
    <w:link w:val="a3"/>
    <w:rsid w:val="00D05EC3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D05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semiHidden/>
    <w:unhideWhenUsed/>
    <w:rsid w:val="00D05E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4A6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E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E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05EC3"/>
    <w:rPr>
      <w:szCs w:val="20"/>
    </w:rPr>
  </w:style>
  <w:style w:type="character" w:customStyle="1" w:styleId="a4">
    <w:name w:val="問候 字元"/>
    <w:basedOn w:val="a0"/>
    <w:link w:val="a3"/>
    <w:rsid w:val="00D05EC3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D05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semiHidden/>
    <w:unhideWhenUsed/>
    <w:rsid w:val="00D05E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4A6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E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E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李金娟</dc:creator>
  <cp:lastModifiedBy>user</cp:lastModifiedBy>
  <cp:revision>3</cp:revision>
  <dcterms:created xsi:type="dcterms:W3CDTF">2015-03-09T04:03:00Z</dcterms:created>
  <dcterms:modified xsi:type="dcterms:W3CDTF">2015-03-09T04:12:00Z</dcterms:modified>
</cp:coreProperties>
</file>