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B0677E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955F93" w:rsidRPr="00AB7F5B" w:rsidTr="00081A7F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AB7F5B" w:rsidRDefault="00955F93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955F93" w:rsidRPr="00AB7F5B" w:rsidRDefault="00937FC5" w:rsidP="00081A7F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701~707</w:t>
            </w:r>
          </w:p>
        </w:tc>
        <w:tc>
          <w:tcPr>
            <w:tcW w:w="1418" w:type="dxa"/>
            <w:vAlign w:val="center"/>
          </w:tcPr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7F5B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955F93" w:rsidRPr="00AB7F5B" w:rsidRDefault="00937FC5" w:rsidP="00081A7F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江朋儒</w:t>
            </w:r>
          </w:p>
        </w:tc>
      </w:tr>
      <w:tr w:rsidR="00955F93" w:rsidRPr="00937FC5" w:rsidTr="00955F93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955F93" w:rsidRPr="00937FC5" w:rsidRDefault="00937FC5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int="eastAsia"/>
                <w:sz w:val="28"/>
              </w:rPr>
              <w:t>地理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int="eastAsia"/>
                <w:sz w:val="28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55F93" w:rsidRPr="00937FC5" w:rsidRDefault="00937FC5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ascii="標楷體" w:eastAsia="標楷體" w:hAnsi="標楷體" w:hint="eastAsia"/>
                <w:sz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955F93" w:rsidRPr="00937FC5" w:rsidRDefault="00937FC5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int="eastAsia"/>
                <w:sz w:val="28"/>
              </w:rPr>
              <w:t>社會</w:t>
            </w:r>
          </w:p>
        </w:tc>
      </w:tr>
      <w:tr w:rsidR="00955F93" w:rsidRPr="0027445A" w:rsidTr="00081A7F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955F93" w:rsidRPr="00E500E1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937FC5" w:rsidRPr="00937FC5" w:rsidRDefault="00937FC5" w:rsidP="00937FC5">
            <w:pPr>
              <w:numPr>
                <w:ilvl w:val="0"/>
                <w:numId w:val="18"/>
              </w:num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37FC5">
              <w:rPr>
                <w:rFonts w:ascii="標楷體" w:eastAsia="標楷體" w:hAnsi="標楷體" w:hint="eastAsia"/>
                <w:color w:val="000000"/>
              </w:rPr>
              <w:t>瞭解地理學的基本概念：</w:t>
            </w:r>
            <w:r w:rsidR="00DE74ED">
              <w:rPr>
                <w:rFonts w:ascii="標楷體" w:eastAsia="標楷體" w:hAnsi="標楷體" w:hint="eastAsia"/>
                <w:color w:val="000000"/>
              </w:rPr>
              <w:t>人口、產業、交通、聚落、區域</w:t>
            </w:r>
            <w:r w:rsidRPr="00937FC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37FC5" w:rsidRPr="00DE74ED" w:rsidRDefault="00937FC5" w:rsidP="007C2079">
            <w:pPr>
              <w:numPr>
                <w:ilvl w:val="0"/>
                <w:numId w:val="18"/>
              </w:num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DE74ED">
              <w:rPr>
                <w:rFonts w:ascii="標楷體" w:eastAsia="標楷體" w:hAnsi="標楷體" w:hint="eastAsia"/>
                <w:color w:val="000000"/>
              </w:rPr>
              <w:t>具備</w:t>
            </w:r>
            <w:r w:rsidR="00DE74ED" w:rsidRPr="00DE74ED">
              <w:rPr>
                <w:rFonts w:ascii="標楷體" w:eastAsia="標楷體" w:hAnsi="標楷體" w:hint="eastAsia"/>
                <w:color w:val="000000"/>
              </w:rPr>
              <w:t>閱讀統計地圖(折線圖、曲線圖、圓餅圖)、分布地圖</w:t>
            </w:r>
            <w:r w:rsidR="00DE74ED" w:rsidRPr="00DE74ED">
              <w:rPr>
                <w:rFonts w:ascii="標楷體" w:eastAsia="標楷體" w:hAnsi="標楷體" w:hint="eastAsia"/>
                <w:color w:val="000000"/>
              </w:rPr>
              <w:t>的能力</w:t>
            </w:r>
            <w:r w:rsidR="00DE74ED" w:rsidRPr="00DE74ED">
              <w:rPr>
                <w:rFonts w:ascii="標楷體" w:eastAsia="標楷體" w:hAnsi="標楷體" w:hint="eastAsia"/>
                <w:color w:val="000000"/>
              </w:rPr>
              <w:t>，能</w:t>
            </w:r>
            <w:r w:rsidR="00DE74ED">
              <w:rPr>
                <w:rFonts w:ascii="標楷體" w:eastAsia="標楷體" w:hAnsi="標楷體" w:hint="eastAsia"/>
                <w:color w:val="000000"/>
              </w:rPr>
              <w:t>利用地圖、數據</w:t>
            </w:r>
            <w:r w:rsidRPr="00DE74ED">
              <w:rPr>
                <w:rFonts w:ascii="標楷體" w:eastAsia="標楷體" w:hAnsi="標楷體" w:hint="eastAsia"/>
                <w:color w:val="000000"/>
              </w:rPr>
              <w:t>和其他資訊，進行描述和解釋地表現象及空間。</w:t>
            </w:r>
          </w:p>
          <w:p w:rsidR="00937FC5" w:rsidRPr="00937FC5" w:rsidRDefault="00937FC5" w:rsidP="00937FC5">
            <w:pPr>
              <w:numPr>
                <w:ilvl w:val="0"/>
                <w:numId w:val="18"/>
              </w:num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37FC5">
              <w:rPr>
                <w:rFonts w:ascii="標楷體" w:eastAsia="標楷體" w:hAnsi="標楷體" w:hint="eastAsia"/>
                <w:color w:val="000000"/>
              </w:rPr>
              <w:t>培養對地表現象的觀察力，並能將所學知識應用於生活。</w:t>
            </w:r>
          </w:p>
          <w:p w:rsidR="00937FC5" w:rsidRPr="00937FC5" w:rsidRDefault="00937FC5" w:rsidP="00937FC5">
            <w:pPr>
              <w:numPr>
                <w:ilvl w:val="0"/>
                <w:numId w:val="18"/>
              </w:num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37FC5">
              <w:rPr>
                <w:rFonts w:ascii="標楷體" w:eastAsia="標楷體" w:hAnsi="標楷體" w:hint="eastAsia"/>
                <w:color w:val="000000"/>
              </w:rPr>
              <w:t>建立表達溝通的能力，說出對生活空間或環境的感受，願意提出改善或建議方案。</w:t>
            </w:r>
          </w:p>
          <w:p w:rsidR="00955F93" w:rsidRPr="00937FC5" w:rsidRDefault="00937FC5" w:rsidP="00937FC5">
            <w:pPr>
              <w:numPr>
                <w:ilvl w:val="0"/>
                <w:numId w:val="18"/>
              </w:numPr>
              <w:spacing w:beforeLines="20" w:before="72" w:afterLines="20" w:after="72" w:line="300" w:lineRule="exact"/>
              <w:rPr>
                <w:rFonts w:ascii="標楷體" w:eastAsia="標楷體" w:hAnsi="標楷體" w:hint="eastAsia"/>
              </w:rPr>
            </w:pPr>
            <w:r w:rsidRPr="00937FC5">
              <w:rPr>
                <w:rFonts w:ascii="標楷體" w:eastAsia="標楷體" w:hAnsi="標楷體" w:hint="eastAsia"/>
                <w:color w:val="000000"/>
              </w:rPr>
              <w:t>學習資料蒐集與分析、電腦讀寫能力、文字處理、自我推動及團隊作業能力。</w:t>
            </w:r>
          </w:p>
          <w:p w:rsidR="00955F93" w:rsidRPr="00454791" w:rsidRDefault="00937FC5" w:rsidP="00937FC5">
            <w:pPr>
              <w:numPr>
                <w:ilvl w:val="0"/>
                <w:numId w:val="18"/>
              </w:num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37FC5">
              <w:rPr>
                <w:rFonts w:ascii="標楷體" w:eastAsia="標楷體" w:hAnsi="標楷體" w:hint="eastAsia"/>
              </w:rPr>
              <w:t>結合地理、藝術與生活，在生硬冰冷的學科上添加美的溫度；並使學生深度探索進而認同周遭的生活環境。</w:t>
            </w:r>
          </w:p>
        </w:tc>
      </w:tr>
      <w:tr w:rsidR="00681D92" w:rsidRPr="0027445A" w:rsidTr="00081A7F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681D92" w:rsidRPr="00E500E1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937FC5" w:rsidRPr="00937FC5" w:rsidRDefault="00937FC5" w:rsidP="00937FC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翰林版第一篇臺灣的環境</w:t>
            </w:r>
            <w:r>
              <w:rPr>
                <w:rFonts w:eastAsia="標楷體"/>
              </w:rPr>
              <w:t>(</w:t>
            </w:r>
            <w:r w:rsidR="00DE74ED">
              <w:rPr>
                <w:rFonts w:eastAsia="標楷體" w:hAnsi="標楷體" w:hint="eastAsia"/>
              </w:rPr>
              <w:t>下</w:t>
            </w:r>
            <w:r w:rsidR="00DE74ED"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：</w:t>
            </w:r>
            <w:r w:rsidR="00DE74ED">
              <w:rPr>
                <w:rFonts w:ascii="標楷體" w:eastAsia="標楷體" w:hAnsi="標楷體" w:hint="eastAsia"/>
                <w:color w:val="000000"/>
              </w:rPr>
              <w:t>人口、產業、交通、聚落、區域</w:t>
            </w:r>
            <w:r w:rsidR="00B1580E">
              <w:rPr>
                <w:rFonts w:eastAsia="標楷體" w:hAnsi="標楷體" w:hint="eastAsia"/>
              </w:rPr>
              <w:t>。</w:t>
            </w:r>
          </w:p>
          <w:p w:rsidR="00681D92" w:rsidRPr="00B1580E" w:rsidRDefault="00681D92" w:rsidP="00937FC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B1580E">
              <w:rPr>
                <w:rFonts w:ascii="標楷體" w:eastAsia="標楷體" w:hAnsi="標楷體" w:hint="eastAsia"/>
              </w:rPr>
              <w:t>教師自製學習單</w:t>
            </w:r>
            <w:r w:rsidR="00DE74ED">
              <w:rPr>
                <w:rFonts w:ascii="標楷體" w:eastAsia="標楷體" w:hAnsi="標楷體" w:hint="eastAsia"/>
              </w:rPr>
              <w:t>，與視覺藝術、音樂結合的課程</w:t>
            </w:r>
            <w:r w:rsidR="00B1580E" w:rsidRPr="00B1580E">
              <w:rPr>
                <w:rFonts w:ascii="標楷體" w:eastAsia="標楷體" w:hAnsi="標楷體" w:hint="eastAsia"/>
              </w:rPr>
              <w:t>。</w:t>
            </w:r>
          </w:p>
        </w:tc>
      </w:tr>
      <w:tr w:rsidR="00955F93" w:rsidRPr="0027445A" w:rsidTr="00785D34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1A7F">
            <w:pPr>
              <w:spacing w:before="100" w:beforeAutospacing="1" w:after="100" w:afterAutospacing="1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="00681D9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08411D" w:rsidRPr="0008411D" w:rsidRDefault="00B1580E" w:rsidP="0008411D">
            <w:pPr>
              <w:numPr>
                <w:ilvl w:val="0"/>
                <w:numId w:val="20"/>
              </w:numPr>
              <w:spacing w:line="400" w:lineRule="exact"/>
              <w:rPr>
                <w:rFonts w:eastAsia="標楷體" w:hint="eastAsia"/>
              </w:rPr>
            </w:pPr>
            <w:r w:rsidRPr="00B1580E">
              <w:rPr>
                <w:rFonts w:eastAsia="標楷體" w:hAnsi="標楷體" w:hint="eastAsia"/>
              </w:rPr>
              <w:t>課間學習：</w:t>
            </w:r>
            <w:r>
              <w:rPr>
                <w:rFonts w:eastAsia="標楷體" w:hAnsi="標楷體" w:hint="eastAsia"/>
              </w:rPr>
              <w:t>上課筆記</w:t>
            </w:r>
            <w:r w:rsidRPr="00B1580E">
              <w:rPr>
                <w:rFonts w:eastAsia="標楷體" w:hAnsi="標楷體" w:hint="eastAsia"/>
              </w:rPr>
              <w:t>、課本圖表。</w:t>
            </w:r>
          </w:p>
          <w:p w:rsidR="00955F93" w:rsidRPr="0008411D" w:rsidRDefault="00B1580E" w:rsidP="0008411D">
            <w:pPr>
              <w:numPr>
                <w:ilvl w:val="0"/>
                <w:numId w:val="20"/>
              </w:numPr>
              <w:spacing w:line="400" w:lineRule="exact"/>
              <w:rPr>
                <w:rFonts w:eastAsia="標楷體"/>
              </w:rPr>
            </w:pPr>
            <w:r w:rsidRPr="0008411D">
              <w:rPr>
                <w:rFonts w:eastAsia="標楷體" w:hAnsi="標楷體" w:hint="eastAsia"/>
              </w:rPr>
              <w:t>課後複習：習作、學習單、講義。</w:t>
            </w:r>
          </w:p>
        </w:tc>
      </w:tr>
      <w:tr w:rsidR="00955F93" w:rsidRPr="0027445A" w:rsidTr="00081A7F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1A7F">
            <w:pPr>
              <w:spacing w:line="400" w:lineRule="exact"/>
              <w:jc w:val="both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="00681D9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955F93" w:rsidRPr="00BF3AFF" w:rsidRDefault="00681D92" w:rsidP="00081A7F">
            <w:pPr>
              <w:spacing w:line="400" w:lineRule="exact"/>
              <w:ind w:firstLineChars="200" w:firstLine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55F93"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08411D" w:rsidRDefault="0008411D" w:rsidP="0008411D">
            <w:pPr>
              <w:numPr>
                <w:ilvl w:val="0"/>
                <w:numId w:val="22"/>
              </w:num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小考成績</w:t>
            </w:r>
            <w:r>
              <w:rPr>
                <w:rFonts w:eastAsia="標楷體"/>
                <w:color w:val="000000"/>
              </w:rPr>
              <w:t>1/3</w:t>
            </w:r>
          </w:p>
          <w:p w:rsidR="0008411D" w:rsidRDefault="0008411D" w:rsidP="0008411D">
            <w:pPr>
              <w:numPr>
                <w:ilvl w:val="0"/>
                <w:numId w:val="22"/>
              </w:numPr>
              <w:spacing w:line="40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習作、練習講義</w:t>
            </w:r>
            <w:r>
              <w:rPr>
                <w:rFonts w:eastAsia="標楷體"/>
                <w:color w:val="000000"/>
              </w:rPr>
              <w:t>1/3</w:t>
            </w:r>
          </w:p>
          <w:p w:rsidR="00955F93" w:rsidRPr="0008411D" w:rsidRDefault="0008411D" w:rsidP="0008411D">
            <w:pPr>
              <w:numPr>
                <w:ilvl w:val="0"/>
                <w:numId w:val="22"/>
              </w:num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態度、</w:t>
            </w:r>
            <w:r w:rsidR="00DE74ED">
              <w:rPr>
                <w:rFonts w:eastAsia="標楷體" w:hAnsi="標楷體" w:hint="eastAsia"/>
                <w:color w:val="000000"/>
              </w:rPr>
              <w:t>活動參與</w:t>
            </w:r>
            <w:r>
              <w:rPr>
                <w:rFonts w:eastAsia="標楷體"/>
                <w:color w:val="000000"/>
              </w:rPr>
              <w:t>1/3</w:t>
            </w:r>
          </w:p>
        </w:tc>
      </w:tr>
      <w:tr w:rsidR="00955F93" w:rsidRPr="0027445A" w:rsidTr="00081A7F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411D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E536BF">
              <w:rPr>
                <w:rFonts w:eastAsia="標楷體" w:hAnsi="標楷體" w:hint="eastAsia"/>
                <w:color w:val="FF0000"/>
                <w:sz w:val="28"/>
                <w:szCs w:val="28"/>
              </w:rPr>
              <w:t>學</w:t>
            </w:r>
            <w:r>
              <w:rPr>
                <w:rFonts w:eastAsia="標楷體" w:hAnsi="標楷體" w:hint="eastAsia"/>
                <w:color w:val="FF0000"/>
                <w:sz w:val="28"/>
                <w:szCs w:val="28"/>
              </w:rPr>
              <w:t>期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08411D" w:rsidRDefault="00955F93" w:rsidP="0008411D"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ascii="標楷體" w:eastAsia="標楷體" w:hAnsi="標楷體" w:hint="eastAsia"/>
                <w:kern w:val="0"/>
              </w:rPr>
            </w:pPr>
            <w:r w:rsidRPr="0008411D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08411D">
              <w:rPr>
                <w:rFonts w:ascii="標楷體" w:eastAsia="標楷體" w:hAnsi="標楷體"/>
                <w:kern w:val="0"/>
              </w:rPr>
              <w:t xml:space="preserve"> </w:t>
            </w:r>
            <w:r w:rsidRPr="0008411D">
              <w:rPr>
                <w:rFonts w:ascii="標楷體" w:eastAsia="標楷體" w:hAnsi="標楷體" w:hint="eastAsia"/>
                <w:kern w:val="0"/>
              </w:rPr>
              <w:t>佔</w:t>
            </w:r>
            <w:r w:rsidRPr="0008411D">
              <w:rPr>
                <w:rFonts w:ascii="標楷體" w:eastAsia="標楷體" w:hAnsi="標楷體"/>
                <w:kern w:val="0"/>
              </w:rPr>
              <w:t>50%</w:t>
            </w:r>
          </w:p>
          <w:p w:rsidR="00955F93" w:rsidRPr="0008411D" w:rsidRDefault="00955F93" w:rsidP="0008411D"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08411D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08411D">
              <w:rPr>
                <w:rFonts w:ascii="標楷體" w:eastAsia="標楷體" w:hAnsi="標楷體"/>
                <w:kern w:val="0"/>
              </w:rPr>
              <w:t>50%</w:t>
            </w:r>
          </w:p>
        </w:tc>
      </w:tr>
      <w:tr w:rsidR="000228BF" w:rsidRPr="00AB7F5B" w:rsidTr="00B57D19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B57D19">
            <w:pPr>
              <w:spacing w:before="100" w:beforeAutospacing="1" w:after="100" w:afterAutospacing="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7D1297" w:rsidRDefault="007D1297" w:rsidP="007D1297">
            <w:pPr>
              <w:numPr>
                <w:ilvl w:val="0"/>
                <w:numId w:val="26"/>
              </w:num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建立學生地理學科的基本能力。</w:t>
            </w:r>
          </w:p>
          <w:p w:rsidR="007D1297" w:rsidRDefault="007D1297" w:rsidP="007D1297">
            <w:pPr>
              <w:numPr>
                <w:ilvl w:val="0"/>
                <w:numId w:val="26"/>
              </w:num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培養學生觀察及組織思考的能力。</w:t>
            </w:r>
          </w:p>
          <w:p w:rsidR="000228BF" w:rsidRPr="00AB7F5B" w:rsidRDefault="007D1297" w:rsidP="007D1297">
            <w:pPr>
              <w:numPr>
                <w:ilvl w:val="0"/>
                <w:numId w:val="26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培養學生積極主動及架構、分享的能力。</w:t>
            </w:r>
          </w:p>
        </w:tc>
      </w:tr>
      <w:tr w:rsidR="000228BF" w:rsidRPr="00AB7F5B" w:rsidTr="00B57D19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785D34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="00785D34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85D3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7D1297" w:rsidRDefault="007D1297" w:rsidP="007D1297">
            <w:pPr>
              <w:numPr>
                <w:ilvl w:val="0"/>
                <w:numId w:val="28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關心孩子學習狀況，鼓勵孩子準時完成作業及勇於發問。</w:t>
            </w:r>
          </w:p>
          <w:p w:rsidR="000228BF" w:rsidRPr="00AB7F5B" w:rsidRDefault="007D1297" w:rsidP="007D1297">
            <w:pPr>
              <w:numPr>
                <w:ilvl w:val="0"/>
                <w:numId w:val="28"/>
              </w:num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</w:rPr>
              <w:t>培養孩子將所學應用於生活的能力。</w:t>
            </w:r>
          </w:p>
        </w:tc>
      </w:tr>
      <w:tr w:rsidR="000228BF" w:rsidRPr="00AB7F5B" w:rsidTr="00B57D19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B57D1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0228BF" w:rsidRDefault="007D1297" w:rsidP="00B57D19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校內分機：</w:t>
            </w:r>
            <w:r w:rsidR="000228BF" w:rsidRPr="00AB7F5B">
              <w:rPr>
                <w:rFonts w:ascii="標楷體" w:eastAsia="標楷體" w:hAnsi="標楷體" w:hint="eastAsia"/>
                <w:sz w:val="28"/>
                <w:szCs w:val="28"/>
              </w:rPr>
              <w:t>25334017#</w:t>
            </w:r>
            <w:r w:rsidR="000B5D5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352</w:t>
            </w:r>
            <w:r w:rsidR="000B5D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D1297" w:rsidRPr="007D1297" w:rsidRDefault="007D1297" w:rsidP="007D1297">
            <w:pPr>
              <w:spacing w:line="400" w:lineRule="exact"/>
              <w:ind w:firstLineChars="50"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/>
              </w:rPr>
              <w:t xml:space="preserve"> </w:t>
            </w:r>
            <w:hyperlink r:id="rId7" w:history="1">
              <w:r>
                <w:rPr>
                  <w:rStyle w:val="a8"/>
                  <w:rFonts w:eastAsia="標楷體"/>
                </w:rPr>
                <w:t>mergen09@gmail.com</w:t>
              </w:r>
            </w:hyperlink>
          </w:p>
        </w:tc>
      </w:tr>
    </w:tbl>
    <w:p w:rsidR="003A4124" w:rsidRDefault="003A4124" w:rsidP="003A4124">
      <w:pPr>
        <w:rPr>
          <w:rFonts w:hint="eastAsia"/>
        </w:rPr>
      </w:pPr>
    </w:p>
    <w:p w:rsidR="00681D92" w:rsidRDefault="00681D92" w:rsidP="003A4124">
      <w:pPr>
        <w:rPr>
          <w:rFonts w:hint="eastAsia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9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9514DE" w:rsidRPr="00FC765B" w:rsidTr="00A74FE7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D45EF3" w:rsidRDefault="009514DE" w:rsidP="00A74FE7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9514DE" w:rsidRPr="00FC765B" w:rsidTr="00A74FE7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DA1CEE" w:rsidRDefault="009514DE" w:rsidP="00A74FE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DA1CEE" w:rsidRDefault="009514DE" w:rsidP="00A74FE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9514DE" w:rsidRDefault="009514DE" w:rsidP="00A74FE7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9514DE" w:rsidRPr="00DA1CEE" w:rsidRDefault="009514DE" w:rsidP="00A74FE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家庭暴力及性侵性騷教育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9514DE" w:rsidRPr="00214258" w:rsidTr="00A74FE7">
        <w:trPr>
          <w:cantSplit/>
          <w:trHeight w:val="5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  <w:r w:rsidRPr="00214258">
              <w:rPr>
                <w:rFonts w:eastAsia="標楷體"/>
              </w:rPr>
              <w:lastRenderedPageBreak/>
              <w:t>月</w:t>
            </w:r>
          </w:p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9514DE" w:rsidRDefault="009514DE" w:rsidP="00A74FE7">
            <w:pPr>
              <w:snapToGrid w:val="0"/>
              <w:spacing w:line="0" w:lineRule="atLeast"/>
              <w:rPr>
                <w:rFonts w:eastAsia="標楷體" w:hint="eastAsia"/>
              </w:rPr>
            </w:pPr>
            <w:r w:rsidRPr="00214258">
              <w:rPr>
                <w:rFonts w:eastAsia="標楷體"/>
              </w:rPr>
              <w:t>週</w:t>
            </w:r>
          </w:p>
          <w:p w:rsidR="009514DE" w:rsidRPr="00214258" w:rsidRDefault="009514DE" w:rsidP="00A74FE7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9514DE" w:rsidRPr="00382AC3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一</w:t>
            </w:r>
          </w:p>
          <w:p w:rsidR="009514DE" w:rsidRPr="00382AC3" w:rsidRDefault="009514DE" w:rsidP="00A74FE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9514DE" w:rsidP="00A74FE7">
            <w:pPr>
              <w:spacing w:line="240" w:lineRule="exact"/>
              <w:rPr>
                <w:rFonts w:eastAsia="標楷體"/>
              </w:rPr>
            </w:pPr>
            <w:r w:rsidRPr="009514DE">
              <w:rPr>
                <w:rFonts w:eastAsia="標楷體"/>
              </w:rPr>
              <w:t>檢討期末考卷</w:t>
            </w:r>
          </w:p>
          <w:p w:rsidR="009514DE" w:rsidRPr="009514DE" w:rsidRDefault="009514DE" w:rsidP="00A74FE7">
            <w:pPr>
              <w:spacing w:line="240" w:lineRule="exact"/>
              <w:rPr>
                <w:rFonts w:eastAsia="標楷體"/>
                <w:bdr w:val="single" w:sz="4" w:space="0" w:color="auto"/>
              </w:rPr>
            </w:pPr>
            <w:r w:rsidRPr="009514DE">
              <w:rPr>
                <w:rFonts w:eastAsia="標楷體"/>
              </w:rPr>
              <w:t xml:space="preserve">CH1 </w:t>
            </w:r>
            <w:r w:rsidRPr="009514DE">
              <w:rPr>
                <w:rFonts w:eastAsia="標楷體"/>
              </w:rPr>
              <w:t>人口</w:t>
            </w:r>
            <w:r w:rsidRPr="009514DE">
              <w:rPr>
                <w:rFonts w:eastAsia="標楷體"/>
              </w:rPr>
              <w:t>問題</w:t>
            </w:r>
            <w:r w:rsidRPr="009514DE">
              <w:rPr>
                <w:rFonts w:eastAsia="標楷體"/>
              </w:rPr>
              <w:t>概述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21-27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下學期第1週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sz w:val="22"/>
              </w:rPr>
            </w:pPr>
            <w:r w:rsidRPr="00705DFE">
              <w:rPr>
                <w:rFonts w:eastAsia="標楷體"/>
                <w:sz w:val="22"/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9514DE" w:rsidP="00A74FE7">
            <w:pPr>
              <w:spacing w:line="240" w:lineRule="exact"/>
              <w:rPr>
                <w:rFonts w:eastAsia="標楷體"/>
              </w:rPr>
            </w:pPr>
            <w:r w:rsidRPr="009514DE">
              <w:rPr>
                <w:rFonts w:eastAsia="標楷體"/>
              </w:rPr>
              <w:t xml:space="preserve">CH1 </w:t>
            </w:r>
            <w:r w:rsidRPr="009514DE">
              <w:rPr>
                <w:rFonts w:eastAsia="標楷體"/>
              </w:rPr>
              <w:t>人口</w:t>
            </w:r>
            <w:r w:rsidRPr="009514DE">
              <w:rPr>
                <w:rFonts w:eastAsia="標楷體"/>
              </w:rPr>
              <w:t>問題</w:t>
            </w:r>
            <w:r w:rsidRPr="009514DE">
              <w:rPr>
                <w:rFonts w:eastAsia="標楷體"/>
              </w:rPr>
              <w:t>概述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14:10大掃除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、16:00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  放學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寒假開始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二</w:t>
            </w:r>
          </w:p>
          <w:p w:rsidR="009514DE" w:rsidRDefault="009514DE" w:rsidP="00A74FE7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                          </w:t>
            </w:r>
          </w:p>
          <w:p w:rsidR="009514DE" w:rsidRDefault="009514DE" w:rsidP="00A74FE7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D4744A" w:rsidRDefault="009514DE" w:rsidP="00A74FE7">
            <w:pPr>
              <w:spacing w:line="280" w:lineRule="exact"/>
              <w:jc w:val="center"/>
              <w:rPr>
                <w:rFonts w:eastAsia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  <w:r w:rsidRPr="009514DE">
              <w:rPr>
                <w:rFonts w:eastAsia="標楷體"/>
              </w:rPr>
              <w:t xml:space="preserve">CH1 </w:t>
            </w:r>
            <w:r w:rsidRPr="009514DE">
              <w:rPr>
                <w:rFonts w:eastAsia="標楷體"/>
              </w:rPr>
              <w:t>臺灣的</w:t>
            </w:r>
            <w:r w:rsidRPr="009514DE">
              <w:rPr>
                <w:rFonts w:eastAsia="標楷體"/>
              </w:rPr>
              <w:t>人口</w:t>
            </w:r>
            <w:r w:rsidRPr="009514DE">
              <w:rPr>
                <w:rFonts w:eastAsia="標楷體"/>
              </w:rPr>
              <w:t>數量與分布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開學、10:10正式上課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16:00 放學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5-26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國七、八16:00放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3/4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補救教學說明會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25~3/3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期初教學研究會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彈性放假(2/28和平紀念日)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三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  <w:r w:rsidRPr="009514DE">
              <w:rPr>
                <w:rFonts w:eastAsia="標楷體"/>
              </w:rPr>
              <w:t xml:space="preserve">CH1 </w:t>
            </w:r>
            <w:r w:rsidRPr="009514DE">
              <w:rPr>
                <w:rFonts w:eastAsia="標楷體"/>
              </w:rPr>
              <w:t>臺灣的人口</w:t>
            </w:r>
            <w:r w:rsidRPr="009514DE">
              <w:rPr>
                <w:rFonts w:eastAsia="標楷體"/>
              </w:rPr>
              <w:t>成長</w:t>
            </w:r>
          </w:p>
          <w:p w:rsidR="009514DE" w:rsidRPr="009514DE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  <w:r w:rsidRPr="009514DE">
              <w:rPr>
                <w:rFonts w:eastAsia="標楷體"/>
              </w:rPr>
              <w:t xml:space="preserve">CH1 </w:t>
            </w:r>
            <w:r w:rsidRPr="009514DE">
              <w:rPr>
                <w:rFonts w:eastAsia="標楷體"/>
              </w:rPr>
              <w:t>臺灣的人口</w:t>
            </w:r>
            <w:r w:rsidRPr="009514DE">
              <w:rPr>
                <w:rFonts w:eastAsia="標楷體"/>
              </w:rPr>
              <w:t>遷移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國七八輔導課開始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2-27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3-4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國九第三次複習考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3/5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9514DE" w:rsidP="009514DE">
            <w:pPr>
              <w:spacing w:line="240" w:lineRule="exact"/>
              <w:jc w:val="both"/>
              <w:rPr>
                <w:rFonts w:eastAsia="標楷體"/>
              </w:rPr>
            </w:pPr>
            <w:r w:rsidRPr="009514DE">
              <w:rPr>
                <w:rFonts w:eastAsia="標楷體"/>
              </w:rPr>
              <w:t xml:space="preserve">CH1 </w:t>
            </w:r>
            <w:r w:rsidRPr="009514DE">
              <w:rPr>
                <w:rFonts w:eastAsia="標楷體"/>
              </w:rPr>
              <w:t>臺灣的人口</w:t>
            </w:r>
            <w:r w:rsidRPr="009514DE">
              <w:rPr>
                <w:rFonts w:eastAsia="標楷體"/>
              </w:rPr>
              <w:t>組成</w:t>
            </w:r>
          </w:p>
          <w:p w:rsidR="009514DE" w:rsidRPr="009514DE" w:rsidRDefault="009514DE" w:rsidP="009514DE">
            <w:pPr>
              <w:spacing w:line="240" w:lineRule="exact"/>
              <w:jc w:val="both"/>
              <w:rPr>
                <w:rFonts w:eastAsia="標楷體"/>
              </w:rPr>
            </w:pPr>
            <w:r w:rsidRPr="009514DE">
              <w:rPr>
                <w:rFonts w:eastAsia="標楷體"/>
              </w:rPr>
              <w:t xml:space="preserve">CH1 </w:t>
            </w:r>
            <w:r w:rsidRPr="009514DE">
              <w:rPr>
                <w:rFonts w:eastAsia="標楷體"/>
              </w:rPr>
              <w:t>臺灣的人口</w:t>
            </w:r>
            <w:r w:rsidRPr="009514DE">
              <w:rPr>
                <w:rFonts w:eastAsia="標楷體"/>
              </w:rPr>
              <w:t>問題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國七、八法律常識會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考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KO拉卡初賽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國九補救教學結束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 xml:space="preserve">2 </w:t>
            </w:r>
            <w:r>
              <w:rPr>
                <w:rFonts w:eastAsia="標楷體" w:hint="eastAsia"/>
              </w:rPr>
              <w:t>臺灣的產業結構</w:t>
            </w:r>
          </w:p>
          <w:p w:rsidR="009514DE" w:rsidRPr="00007658" w:rsidRDefault="009514DE" w:rsidP="009514DE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 xml:space="preserve">2 </w:t>
            </w:r>
            <w:r>
              <w:rPr>
                <w:rFonts w:eastAsia="標楷體" w:hint="eastAsia"/>
              </w:rPr>
              <w:t>臺灣的第一級產業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朝會防災預演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朝會正式防災演練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學校日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七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 xml:space="preserve">2 </w:t>
            </w:r>
            <w:r>
              <w:rPr>
                <w:rFonts w:eastAsia="標楷體" w:hint="eastAsia"/>
              </w:rPr>
              <w:t>臺灣的第一級產業</w:t>
            </w:r>
          </w:p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 xml:space="preserve">2 </w:t>
            </w:r>
            <w:r>
              <w:rPr>
                <w:rFonts w:eastAsia="標楷體" w:hint="eastAsia"/>
              </w:rPr>
              <w:t>全球化下的臺灣農業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</w:pP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第一次期中考複習、檢討考卷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30~4/2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課程規劃暨期中教學研究會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第一次期中考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國九期末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國七八補救教學結束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彈性放假(4/4兒童節)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四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 xml:space="preserve">3 </w:t>
            </w:r>
            <w:r>
              <w:rPr>
                <w:rFonts w:eastAsia="標楷體" w:hint="eastAsia"/>
              </w:rPr>
              <w:t>工業、工業區位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彈性放假(4/5民族掃墓節)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國中課發會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9-10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國八隔宿露營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5/8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班級共讀II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 xml:space="preserve">3 </w:t>
            </w:r>
            <w:r>
              <w:rPr>
                <w:rFonts w:eastAsia="標楷體" w:hint="eastAsia"/>
              </w:rPr>
              <w:t>臺灣</w:t>
            </w:r>
            <w:r>
              <w:rPr>
                <w:rFonts w:eastAsia="標楷體" w:hint="eastAsia"/>
              </w:rPr>
              <w:t>工業</w:t>
            </w:r>
            <w:r>
              <w:rPr>
                <w:rFonts w:eastAsia="標楷體" w:hint="eastAsia"/>
              </w:rPr>
              <w:t>發展的特色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13-17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國語文競賽</w:t>
            </w:r>
          </w:p>
          <w:p w:rsidR="009514DE" w:rsidRPr="00C04A31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Pr="00C04A31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</w:rPr>
              <w:t>國七英語歌唱比賽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13-24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國七、八拔河賽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 xml:space="preserve">3 </w:t>
            </w:r>
            <w:r>
              <w:rPr>
                <w:rFonts w:eastAsia="標楷體" w:hint="eastAsia"/>
              </w:rPr>
              <w:t>服務業、全球化的臺灣服務業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KO拉卡決賽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交通的類型、臺灣的運輸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27-28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英語文競賽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國九第四次複習考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『好社之徒』競賽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五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臺灣的運輸</w:t>
            </w:r>
            <w:r>
              <w:rPr>
                <w:rFonts w:eastAsia="標楷體" w:hint="eastAsia"/>
              </w:rPr>
              <w:t>、臺灣的通訊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包高中</w:t>
            </w:r>
          </w:p>
          <w:p w:rsidR="009514DE" w:rsidRPr="00382AC3" w:rsidRDefault="009514DE" w:rsidP="00A74FE7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專任老師會議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63255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次期中考複習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國七八第二次期中考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國九輔導課結束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國九晚自習結束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/>
                <w:spacing w:val="-10"/>
                <w:sz w:val="20"/>
                <w:szCs w:val="20"/>
              </w:rPr>
              <w:t>國九看考場15:00放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16-17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國中教育會考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63255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檢討考卷</w:t>
            </w:r>
          </w:p>
          <w:p w:rsidR="00963255" w:rsidRPr="00007658" w:rsidRDefault="00963255" w:rsidP="00963255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聚落的形成與類型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18-22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科學週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18-29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國七、八桌球賽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18-6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/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II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國七校外教學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63255" w:rsidP="00A74FE7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都市化與都市化程度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napToGrid w:val="0"/>
              <w:spacing w:line="400" w:lineRule="exact"/>
              <w:rPr>
                <w:rFonts w:eastAsia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25~28</w:t>
            </w:r>
            <w:r w:rsidRPr="00382AC3">
              <w:rPr>
                <w:rFonts w:eastAsia="標楷體" w:hint="eastAsia"/>
                <w:sz w:val="20"/>
                <w:szCs w:val="20"/>
              </w:rPr>
              <w:t>期末教學研究會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十七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55" w:rsidRDefault="00963255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臺灣的聚落發展</w:t>
            </w:r>
          </w:p>
          <w:p w:rsidR="009514DE" w:rsidRPr="00007658" w:rsidRDefault="00963255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臺灣的城鄉發展差異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1-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藝文週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畢業典禮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國八表藝成果發表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六月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55" w:rsidRPr="00007658" w:rsidRDefault="00963255" w:rsidP="00963255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區域劃分</w:t>
            </w:r>
            <w:r>
              <w:rPr>
                <w:rFonts w:eastAsia="標楷體" w:hint="eastAsia"/>
              </w:rPr>
              <w:t>、</w:t>
            </w:r>
            <w:bookmarkStart w:id="0" w:name="_GoBack"/>
            <w:bookmarkEnd w:id="0"/>
            <w:r>
              <w:rPr>
                <w:rFonts w:eastAsia="標楷體" w:hint="eastAsia"/>
              </w:rPr>
              <w:t>臺灣的區域特色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63255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CH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臺灣的區域特色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國七八輔導課結束 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彈性放假(20端午節) 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63255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期末考複習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382AC3">
              <w:rPr>
                <w:rFonts w:eastAsia="標楷體" w:hint="eastAsia"/>
                <w:sz w:val="20"/>
                <w:szCs w:val="20"/>
              </w:rPr>
              <w:t>發現亮點工作坊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26-29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國七八期末考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二十</w:t>
            </w:r>
            <w:r>
              <w:rPr>
                <w:rFonts w:eastAsia="標楷體"/>
                <w:b/>
                <w:color w:val="000000"/>
                <w:sz w:val="20"/>
              </w:rPr>
              <w:br/>
            </w:r>
            <w:r>
              <w:rPr>
                <w:rFonts w:eastAsia="標楷體" w:hint="eastAsia"/>
                <w:b/>
                <w:color w:val="000000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A738FD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暑假開始</w:t>
            </w:r>
          </w:p>
        </w:tc>
      </w:tr>
      <w:tr w:rsidR="009514DE" w:rsidRPr="00FC765B" w:rsidTr="00A74FE7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B0A" w:rsidRDefault="009514DE" w:rsidP="00A74FE7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2406B7" w:rsidRDefault="009514DE" w:rsidP="00A74FE7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A00C63" w:rsidRDefault="00A00C63" w:rsidP="003A4124">
      <w:pPr>
        <w:rPr>
          <w:rFonts w:hint="eastAsia"/>
        </w:rPr>
      </w:pPr>
    </w:p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5B" w:rsidRDefault="00AE025B">
      <w:r>
        <w:separator/>
      </w:r>
    </w:p>
  </w:endnote>
  <w:endnote w:type="continuationSeparator" w:id="0">
    <w:p w:rsidR="00AE025B" w:rsidRDefault="00AE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5B" w:rsidRDefault="00AE025B">
      <w:r>
        <w:separator/>
      </w:r>
    </w:p>
  </w:footnote>
  <w:footnote w:type="continuationSeparator" w:id="0">
    <w:p w:rsidR="00AE025B" w:rsidRDefault="00AE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A5115"/>
    <w:multiLevelType w:val="hybridMultilevel"/>
    <w:tmpl w:val="7D6AC6F4"/>
    <w:lvl w:ilvl="0" w:tplc="A678F87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97C79"/>
    <w:multiLevelType w:val="hybridMultilevel"/>
    <w:tmpl w:val="C2C8E98A"/>
    <w:lvl w:ilvl="0" w:tplc="D09EF048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5C524A"/>
    <w:multiLevelType w:val="hybridMultilevel"/>
    <w:tmpl w:val="6A3CE6A0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A66792"/>
    <w:multiLevelType w:val="hybridMultilevel"/>
    <w:tmpl w:val="F9467D3C"/>
    <w:lvl w:ilvl="0" w:tplc="EE7E13AC">
      <w:start w:val="5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5846A7"/>
    <w:multiLevelType w:val="hybridMultilevel"/>
    <w:tmpl w:val="51906D92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6F0B3C"/>
    <w:multiLevelType w:val="hybridMultilevel"/>
    <w:tmpl w:val="2A067A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5BD7F81"/>
    <w:multiLevelType w:val="hybridMultilevel"/>
    <w:tmpl w:val="812CD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B35B32"/>
    <w:multiLevelType w:val="hybridMultilevel"/>
    <w:tmpl w:val="BBE83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09B592B"/>
    <w:multiLevelType w:val="hybridMultilevel"/>
    <w:tmpl w:val="1E4C9812"/>
    <w:lvl w:ilvl="0" w:tplc="FE8C0362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9F79DF"/>
    <w:multiLevelType w:val="hybridMultilevel"/>
    <w:tmpl w:val="624ED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C55194"/>
    <w:multiLevelType w:val="hybridMultilevel"/>
    <w:tmpl w:val="A31A91C8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5"/>
  </w:num>
  <w:num w:numId="5">
    <w:abstractNumId w:val="25"/>
  </w:num>
  <w:num w:numId="6">
    <w:abstractNumId w:val="13"/>
  </w:num>
  <w:num w:numId="7">
    <w:abstractNumId w:val="0"/>
  </w:num>
  <w:num w:numId="8">
    <w:abstractNumId w:val="10"/>
  </w:num>
  <w:num w:numId="9">
    <w:abstractNumId w:val="26"/>
  </w:num>
  <w:num w:numId="10">
    <w:abstractNumId w:val="27"/>
  </w:num>
  <w:num w:numId="11">
    <w:abstractNumId w:val="21"/>
  </w:num>
  <w:num w:numId="12">
    <w:abstractNumId w:val="11"/>
  </w:num>
  <w:num w:numId="13">
    <w:abstractNumId w:val="17"/>
  </w:num>
  <w:num w:numId="14">
    <w:abstractNumId w:val="4"/>
  </w:num>
  <w:num w:numId="15">
    <w:abstractNumId w:val="20"/>
  </w:num>
  <w:num w:numId="16">
    <w:abstractNumId w:val="15"/>
  </w:num>
  <w:num w:numId="17">
    <w:abstractNumId w:val="8"/>
  </w:num>
  <w:num w:numId="18">
    <w:abstractNumId w:val="18"/>
  </w:num>
  <w:num w:numId="19">
    <w:abstractNumId w:val="1"/>
  </w:num>
  <w:num w:numId="20">
    <w:abstractNumId w:val="24"/>
  </w:num>
  <w:num w:numId="21">
    <w:abstractNumId w:val="22"/>
  </w:num>
  <w:num w:numId="22">
    <w:abstractNumId w:val="19"/>
  </w:num>
  <w:num w:numId="23">
    <w:abstractNumId w:val="23"/>
  </w:num>
  <w:num w:numId="24">
    <w:abstractNumId w:val="16"/>
  </w:num>
  <w:num w:numId="25">
    <w:abstractNumId w:val="6"/>
  </w:num>
  <w:num w:numId="26">
    <w:abstractNumId w:val="3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8411D"/>
    <w:rsid w:val="000B5D5E"/>
    <w:rsid w:val="000C35BE"/>
    <w:rsid w:val="000C6B59"/>
    <w:rsid w:val="00112C80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A4E55"/>
    <w:rsid w:val="002C5559"/>
    <w:rsid w:val="003071D4"/>
    <w:rsid w:val="00317490"/>
    <w:rsid w:val="00334B5C"/>
    <w:rsid w:val="0034107B"/>
    <w:rsid w:val="003861F9"/>
    <w:rsid w:val="003A4124"/>
    <w:rsid w:val="003A420B"/>
    <w:rsid w:val="003B4267"/>
    <w:rsid w:val="003C0ED6"/>
    <w:rsid w:val="003C5FC7"/>
    <w:rsid w:val="003E468C"/>
    <w:rsid w:val="00401597"/>
    <w:rsid w:val="00411063"/>
    <w:rsid w:val="00413381"/>
    <w:rsid w:val="00423A4A"/>
    <w:rsid w:val="00430A37"/>
    <w:rsid w:val="00477378"/>
    <w:rsid w:val="00484F46"/>
    <w:rsid w:val="004B2B53"/>
    <w:rsid w:val="00504F1B"/>
    <w:rsid w:val="005152B0"/>
    <w:rsid w:val="00537AE6"/>
    <w:rsid w:val="00544662"/>
    <w:rsid w:val="0055460F"/>
    <w:rsid w:val="005A4CD2"/>
    <w:rsid w:val="005B2C30"/>
    <w:rsid w:val="005D1893"/>
    <w:rsid w:val="00603815"/>
    <w:rsid w:val="006156C2"/>
    <w:rsid w:val="00630E50"/>
    <w:rsid w:val="00641BF7"/>
    <w:rsid w:val="006501BF"/>
    <w:rsid w:val="00681D92"/>
    <w:rsid w:val="006C23C3"/>
    <w:rsid w:val="007003C8"/>
    <w:rsid w:val="0071154B"/>
    <w:rsid w:val="00717CB4"/>
    <w:rsid w:val="007412B9"/>
    <w:rsid w:val="0074473E"/>
    <w:rsid w:val="0077458C"/>
    <w:rsid w:val="00785D34"/>
    <w:rsid w:val="007B10C8"/>
    <w:rsid w:val="007B21FD"/>
    <w:rsid w:val="007C4F2D"/>
    <w:rsid w:val="007D1297"/>
    <w:rsid w:val="007F6249"/>
    <w:rsid w:val="00834AF0"/>
    <w:rsid w:val="00841C86"/>
    <w:rsid w:val="008427D5"/>
    <w:rsid w:val="00854E3F"/>
    <w:rsid w:val="008843A6"/>
    <w:rsid w:val="00897640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37FC5"/>
    <w:rsid w:val="00947713"/>
    <w:rsid w:val="009514DE"/>
    <w:rsid w:val="00955F93"/>
    <w:rsid w:val="00963255"/>
    <w:rsid w:val="00963B7C"/>
    <w:rsid w:val="009C6791"/>
    <w:rsid w:val="009F27A3"/>
    <w:rsid w:val="009F4954"/>
    <w:rsid w:val="00A00C63"/>
    <w:rsid w:val="00A07E3A"/>
    <w:rsid w:val="00A7410E"/>
    <w:rsid w:val="00AA2A96"/>
    <w:rsid w:val="00AB179A"/>
    <w:rsid w:val="00AB4314"/>
    <w:rsid w:val="00AB62D8"/>
    <w:rsid w:val="00AE025B"/>
    <w:rsid w:val="00AF5E6A"/>
    <w:rsid w:val="00B0677E"/>
    <w:rsid w:val="00B06CEF"/>
    <w:rsid w:val="00B074E1"/>
    <w:rsid w:val="00B13E1D"/>
    <w:rsid w:val="00B1580E"/>
    <w:rsid w:val="00B57D19"/>
    <w:rsid w:val="00B62BEC"/>
    <w:rsid w:val="00B67E5A"/>
    <w:rsid w:val="00BA3834"/>
    <w:rsid w:val="00BD1FE2"/>
    <w:rsid w:val="00C02251"/>
    <w:rsid w:val="00C057EF"/>
    <w:rsid w:val="00C57E22"/>
    <w:rsid w:val="00C82884"/>
    <w:rsid w:val="00C8755D"/>
    <w:rsid w:val="00CA0C5A"/>
    <w:rsid w:val="00CC68B4"/>
    <w:rsid w:val="00CD24E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B3038"/>
    <w:rsid w:val="00DD67C6"/>
    <w:rsid w:val="00DE5FAC"/>
    <w:rsid w:val="00DE74ED"/>
    <w:rsid w:val="00E15F56"/>
    <w:rsid w:val="00E21A50"/>
    <w:rsid w:val="00E515A3"/>
    <w:rsid w:val="00E730BA"/>
    <w:rsid w:val="00E77F24"/>
    <w:rsid w:val="00EA3D45"/>
    <w:rsid w:val="00EB2914"/>
    <w:rsid w:val="00EC7F8E"/>
    <w:rsid w:val="00ED14E7"/>
    <w:rsid w:val="00EF47CC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A366D-9DC8-4641-A687-5A0240F0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 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 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unhideWhenUsed/>
    <w:rsid w:val="007D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rgen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Links>
    <vt:vector size="18" baseType="variant">
      <vt:variant>
        <vt:i4>690154758</vt:i4>
      </vt:variant>
      <vt:variant>
        <vt:i4>6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mailto:mergen09@gmail.com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subject/>
  <dc:creator>user</dc:creator>
  <cp:keywords/>
  <cp:lastModifiedBy>user</cp:lastModifiedBy>
  <cp:revision>3</cp:revision>
  <cp:lastPrinted>2014-01-14T02:54:00Z</cp:lastPrinted>
  <dcterms:created xsi:type="dcterms:W3CDTF">2015-02-10T08:40:00Z</dcterms:created>
  <dcterms:modified xsi:type="dcterms:W3CDTF">2015-02-10T09:04:00Z</dcterms:modified>
</cp:coreProperties>
</file>