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問候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107</w:t>
      </w:r>
      <w:r>
        <w:rPr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zh-TW" w:eastAsia="zh-TW"/>
        </w:rPr>
        <w:t>國中部</w:t>
      </w:r>
      <w:r>
        <w:rPr>
          <w:sz w:val="36"/>
          <w:szCs w:val="36"/>
          <w:rtl w:val="0"/>
          <w:lang w:val="zh-TW" w:eastAsia="zh-TW"/>
        </w:rPr>
        <w:t>音樂</w:t>
      </w:r>
      <w:r>
        <w:rPr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7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701~709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50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spacing w:line="2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引導並鼓勵對音樂的喜愛。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培養欣賞音樂的能力與習慣。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Cambria" w:hAnsi="標楷體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Cambria" w:cs="Cambria" w:hAnsi="Cambria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發展演唱與演奏之技能</w:t>
            </w:r>
            <w:r>
              <w:rPr>
                <w:rFonts w:ascii="Cambria" w:cs="Cambria" w:hAnsi="Cambria" w:eastAsia="Cambria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啟發對音樂創作之興趣。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ascii="新細明體" w:cs="新細明體" w:hAnsi="新細明體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46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康軒出版社之藝術與人文課本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翰軒文化出版之新編愛笛聲</w:t>
            </w:r>
          </w:p>
        </w:tc>
      </w:tr>
      <w:tr>
        <w:tblPrEx>
          <w:shd w:val="clear" w:color="auto" w:fill="ced7e7"/>
        </w:tblPrEx>
        <w:trPr>
          <w:trHeight w:val="299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ced7e7"/>
        </w:tblPrEx>
        <w:trPr>
          <w:trHeight w:val="40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/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直笛、唱歌）、紙筆測驗</w:t>
            </w:r>
          </w:p>
        </w:tc>
      </w:tr>
      <w:tr>
        <w:tblPrEx>
          <w:shd w:val="clear" w:color="auto" w:fill="ced7e7"/>
        </w:tblPrEx>
        <w:trPr>
          <w:trHeight w:val="86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(60%):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ced7e7"/>
        </w:tblPrEx>
        <w:trPr>
          <w:trHeight w:val="68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425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25334017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分機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374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sz w:val="18"/>
                <w:szCs w:val="18"/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91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kern w:val="0"/>
                <w:sz w:val="24"/>
                <w:szCs w:val="24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暑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文鼎顏楷" w:cs="文鼎顏楷" w:hAnsi="文鼎顏楷" w:eastAsia="標楷體" w:hint="eastAsia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準備週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開學、正式上課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放學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ascii="文鼎顏楷" w:cs="文鼎顏楷" w:hAnsi="文鼎顏楷"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課程說明與分組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國九輔導課開始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4-5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國九第一次複習考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音樂的語言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認識音名與唱名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校歌教唱一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國七、八輔導課開始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介紹中音直笛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認識譜表與譜號、音符與休止符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校歌教唱二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18-20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國九畢業旅行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複習樂理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唱歌：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 Re Mi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中秋節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ind w:firstLine="100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記譜法的演變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國九晚自習開始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介紹人聲的種類一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11-12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自選曲考試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介紹人聲的種類二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認識演唱的形式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15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ind w:left="92" w:hanging="92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355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週年校慶暨園遊會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樂理：音程與音階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唱歌：哈利路亞卡農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欣賞：Ｄ大調卡農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校慶補假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音樂基本節奏練習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tabs>
                <w:tab w:val="left" w:pos="2183"/>
              </w:tabs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12-16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國語文競賽週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樂理：單拍子與複拍子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唱歌：快樂！真快樂！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19-23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職群試探活動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認識擊樂器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4-5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次期中考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非器樂類及樂器介紹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標楷體" w:hAnsi="標楷體"/>
                <w:strike w:val="0"/>
                <w:dstrike w:val="0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無"/>
                <w:rFonts w:eastAsia="標楷體" w:hint="eastAsia"/>
                <w:strike w:val="0"/>
                <w:dstrike w:val="0"/>
                <w:sz w:val="20"/>
                <w:szCs w:val="20"/>
                <w:rtl w:val="0"/>
                <w:lang w:val="zh-TW" w:eastAsia="zh-TW"/>
              </w:rPr>
              <w:t>產業參訪活動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節奏創作與分組呈現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21-22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國九第二次複習考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12/31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上課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認識弦樂器中的提琴家族（一）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樂曲欣賞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四季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24-28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作業抽查週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校內科展比賽評審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108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olor w:val="000000"/>
                <w:sz w:val="20"/>
                <w:szCs w:val="20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認識弦樂器中的提琴家族（二）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彈性放假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開國紀念日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聯絡簿抽查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期末測驗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</w:tc>
      </w:tr>
      <w:tr>
        <w:tblPrEx>
          <w:shd w:val="clear" w:color="auto" w:fill="ced7e7"/>
        </w:tblPrEx>
        <w:trPr>
          <w:trHeight w:val="1241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16-17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休業式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寒假開始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  <w:font w:name="文鼎顏楷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