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109</w:t>
      </w:r>
      <w:r>
        <w:rPr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</w:pPr>
      <w:r>
        <w:rPr>
          <w:sz w:val="36"/>
          <w:szCs w:val="36"/>
          <w:rtl w:val="0"/>
          <w:lang w:val="zh-TW" w:eastAsia="zh-TW"/>
        </w:rPr>
        <w:t>高中部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__</w:t>
      </w:r>
      <w:r>
        <w:rPr>
          <w:sz w:val="36"/>
          <w:szCs w:val="36"/>
          <w:rtl w:val="0"/>
          <w:lang w:val="zh-TW" w:eastAsia="zh-TW"/>
        </w:rPr>
        <w:t>國文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_ </w:t>
      </w:r>
      <w:r>
        <w:rPr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Microsoft JhengHei" w:hAnsi="Microsoft JhengHei"/>
                <w:rtl w:val="0"/>
                <w:lang w:val="en-US"/>
              </w:rPr>
              <w:t>20</w:t>
            </w:r>
            <w:r>
              <w:rPr>
                <w:rFonts w:ascii="Microsoft JhengHei" w:hAnsi="Microsoft JhengHei"/>
                <w:rtl w:val="0"/>
                <w:lang w:val="en-US"/>
              </w:rPr>
              <w:t>5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rtl w:val="0"/>
                <w:lang w:val="en-US"/>
              </w:rPr>
              <w:t>2</w:t>
            </w:r>
            <w:r>
              <w:rPr>
                <w:rFonts w:ascii="Microsoft JhengHei" w:hAnsi="Microsoft JhengHei"/>
                <w:rtl w:val="0"/>
                <w:lang w:val="en-US"/>
              </w:rPr>
              <w:t>10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Microsoft JhengHei" w:hint="eastAsia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426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rPr>
                <w:rFonts w:ascii="Microsoft JhengHei" w:cs="Microsoft JhengHei" w:hAnsi="Microsoft JhengHei" w:eastAsia="Microsoft JhengHei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引發閱讀及欣賞文學作品的興趣，培養語言表達及分析事理的能力。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rtl w:val="0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藉由文學經典作品的認識，培養面對困境與挫折的生命智慧。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rtl w:val="0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具有應付學測的能力，養成自主讀書的習慣及能力。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透過廣博精熟的閱讀，深化素養方向的能力。</w:t>
            </w:r>
          </w:p>
        </w:tc>
      </w:tr>
      <w:tr>
        <w:tblPrEx>
          <w:shd w:val="clear" w:color="auto" w:fill="ced7e7"/>
        </w:tblPrEx>
        <w:trPr>
          <w:trHeight w:val="1534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教科書：龍騰版高二國文</w:t>
            </w:r>
          </w:p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  <w:lang w:val="en-US"/>
              </w:rPr>
            </w:pP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rtl w:val="0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補充閱讀：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古今悅讀一百</w:t>
            </w:r>
            <w:r>
              <w:rPr>
                <w:rFonts w:ascii="Microsoft JhengHei" w:hAnsi="Microsoft JhengHei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龍騰</w:t>
            </w:r>
            <w:r>
              <w:rPr>
                <w:rFonts w:ascii="Microsoft JhengHei" w:hAnsi="Microsoft JhengHei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教師自編教材</w:t>
            </w:r>
          </w:p>
        </w:tc>
      </w:tr>
      <w:tr>
        <w:tblPrEx>
          <w:shd w:val="clear" w:color="auto" w:fill="ced7e7"/>
        </w:tblPrEx>
        <w:trPr>
          <w:trHeight w:val="1116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依課程內容之學習單及測驗卷練習。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隨堂測驗，包含：默書、問答</w:t>
            </w:r>
            <w:r>
              <w:rPr>
                <w:rFonts w:ascii="Microsoft JhengHei" w:hAnsi="Microsoft JhengHei" w:hint="default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課外閱讀寫作、詩詞背誦、語文演練、線上測驗。</w:t>
            </w:r>
          </w:p>
        </w:tc>
      </w:tr>
      <w:tr>
        <w:tblPrEx>
          <w:shd w:val="clear" w:color="auto" w:fill="ced7e7"/>
        </w:tblPrEx>
        <w:trPr>
          <w:trHeight w:val="118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4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紙筆測驗，含：測驗卷、隨堂測驗</w:t>
            </w:r>
            <w:r>
              <w:rPr>
                <w:rFonts w:ascii="Microsoft JhengHei" w:hAnsi="Microsoft JhengHei" w:hint="default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非紙筆測驗，含：口試、作品</w:t>
            </w:r>
            <w:r>
              <w:rPr>
                <w:rFonts w:ascii="Microsoft JhengHei" w:hAnsi="Microsoft JhengHei" w:hint="default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資料蒐集、學習單、報告</w:t>
            </w:r>
            <w:r>
              <w:rPr>
                <w:rFonts w:ascii="Microsoft JhengHei" w:hAnsi="Microsoft JhengHei" w:hint="default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等等。</w:t>
            </w:r>
          </w:p>
        </w:tc>
      </w:tr>
      <w:tr>
        <w:tblPrEx>
          <w:shd w:val="clear" w:color="auto" w:fill="ced7e7"/>
        </w:tblPrEx>
        <w:trPr>
          <w:trHeight w:val="111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5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包含定期紙筆測驗、指定作業、學習態度。</w:t>
            </w:r>
          </w:p>
          <w:p>
            <w:pPr>
              <w:pStyle w:val="內文 A"/>
              <w:widowControl w:val="1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成績計算方式為：兩次期中考各</w:t>
            </w:r>
            <w:r>
              <w:rPr>
                <w:rFonts w:ascii="Microsoft JhengHei" w:hAnsi="Microsoft JhengHei"/>
                <w:rtl w:val="0"/>
                <w:lang w:val="en-US"/>
              </w:rPr>
              <w:t>20%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、期末考</w:t>
            </w:r>
            <w:r>
              <w:rPr>
                <w:rFonts w:ascii="Microsoft JhengHei" w:hAnsi="Microsoft JhengHei"/>
                <w:rtl w:val="0"/>
                <w:lang w:val="en-US"/>
              </w:rPr>
              <w:t>30%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、平時成績（含作業、小考、學習態度等）</w:t>
            </w:r>
            <w:r>
              <w:rPr>
                <w:rFonts w:ascii="Microsoft JhengHei" w:hAnsi="Microsoft JhengHei"/>
                <w:rtl w:val="0"/>
                <w:lang w:val="en-US"/>
              </w:rPr>
              <w:t>30%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按照課堂表現，酌以加分。</w:t>
            </w:r>
          </w:p>
        </w:tc>
      </w:tr>
      <w:tr>
        <w:tblPrEx>
          <w:shd w:val="clear" w:color="auto" w:fill="ced7e7"/>
        </w:tblPrEx>
        <w:trPr>
          <w:trHeight w:val="241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6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181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七、擬請家長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7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請叮囑孩子在規定時間內完成指定作業及考試之準備。</w:t>
            </w:r>
          </w:p>
          <w:p>
            <w:pPr>
              <w:pStyle w:val="內文 A"/>
              <w:widowControl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請鼓勵並培養孩子的閱讀習慣，並筆記心得作為紀錄，關心閱讀素材及思考內容，陪伴孩子面對挑戰。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126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eastAsia="Microsoft JhengHei" w:hint="eastAsia"/>
                <w:rtl w:val="0"/>
                <w:lang w:val="zh-TW" w:eastAsia="zh-TW"/>
              </w:rPr>
              <w:t>辦公室：（</w:t>
            </w:r>
            <w:r>
              <w:rPr>
                <w:rFonts w:ascii="Microsoft JhengHei" w:hAnsi="Microsoft JhengHei"/>
                <w:rtl w:val="0"/>
                <w:lang w:val="en-US"/>
              </w:rPr>
              <w:t>02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）</w:t>
            </w:r>
            <w:r>
              <w:rPr>
                <w:rFonts w:ascii="Microsoft JhengHei" w:hAnsi="Microsoft JhengHei"/>
                <w:rtl w:val="0"/>
                <w:lang w:val="en-US"/>
              </w:rPr>
              <w:t xml:space="preserve">2533-4017 </w:t>
            </w:r>
            <w:r>
              <w:rPr>
                <w:rFonts w:eastAsia="Microsoft JhengHei" w:hint="eastAsia"/>
                <w:rtl w:val="0"/>
                <w:lang w:val="zh-TW" w:eastAsia="zh-TW"/>
              </w:rPr>
              <w:t xml:space="preserve">轉 </w:t>
            </w:r>
            <w:r>
              <w:rPr>
                <w:rFonts w:ascii="Microsoft JhengHei" w:hAnsi="Microsoft JhengHei"/>
                <w:rtl w:val="0"/>
                <w:lang w:val="en-US"/>
              </w:rPr>
              <w:t>214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rtl w:val="0"/>
                <w:lang w:val="en-US"/>
              </w:rPr>
              <w:t>215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rtl w:val="0"/>
                <w:lang w:val="en-US"/>
              </w:rPr>
              <w:t>216</w:t>
            </w:r>
          </w:p>
        </w:tc>
      </w:tr>
    </w:tbl>
    <w:p>
      <w:pPr>
        <w:pStyle w:val="問候"/>
        <w:jc w:val="center"/>
      </w:pPr>
    </w:p>
    <w:p>
      <w:pPr>
        <w:pStyle w:val="內文 A"/>
        <w:jc w:val="center"/>
        <w:rPr>
          <w:rFonts w:ascii="Microsoft JhengHei" w:cs="Microsoft JhengHei" w:hAnsi="Microsoft JhengHei" w:eastAsia="Microsoft JhengHei"/>
          <w:sz w:val="32"/>
          <w:szCs w:val="32"/>
          <w:lang w:val="zh-TW" w:eastAsia="zh-TW"/>
        </w:rPr>
      </w:pPr>
      <w:r>
        <w:rPr>
          <w:rFonts w:eastAsia="Microsoft JhengHei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6"/>
        <w:gridCol w:w="214"/>
        <w:gridCol w:w="173"/>
        <w:gridCol w:w="388"/>
        <w:gridCol w:w="364"/>
        <w:gridCol w:w="295"/>
        <w:gridCol w:w="174"/>
        <w:gridCol w:w="282"/>
        <w:gridCol w:w="376"/>
        <w:gridCol w:w="376"/>
        <w:gridCol w:w="203"/>
        <w:gridCol w:w="173"/>
        <w:gridCol w:w="1705"/>
        <w:gridCol w:w="1561"/>
        <w:gridCol w:w="448"/>
        <w:gridCol w:w="530"/>
        <w:gridCol w:w="786"/>
        <w:gridCol w:w="173"/>
        <w:gridCol w:w="1256"/>
        <w:gridCol w:w="1339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73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394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236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878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　</w:t>
            </w:r>
          </w:p>
        </w:tc>
        <w:tc>
          <w:tcPr>
            <w:tcW w:type="dxa" w:w="1560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　</w:t>
            </w:r>
          </w:p>
        </w:tc>
        <w:tc>
          <w:tcPr>
            <w:tcW w:type="dxa" w:w="1764"/>
            <w:gridSpan w:val="3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428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338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73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4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23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87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Microsoft JhengHei" w:cs="Microsoft JhengHei" w:hAnsi="Microsoft JhengHei" w:eastAsia="Microsoft JhengHei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76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767"/>
            <w:gridSpan w:val="3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73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3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14.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3439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　</w:t>
            </w:r>
          </w:p>
        </w:tc>
        <w:tc>
          <w:tcPr>
            <w:tcW w:type="dxa" w:w="4531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16. 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Microsoft JhengHei" w:hAnsi="Microsoft JhengHei" w:hint="default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  …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eastAsia="Microsoft JhengHei" w:hint="eastAsia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58" w:hRule="atLeast"/>
        </w:trPr>
        <w:tc>
          <w:tcPr>
            <w:tcW w:type="dxa" w:w="516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86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8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6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56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75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714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Microsoft JhengHei" w:hint="eastAsia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52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95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594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Microsoft JhengHei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516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714"/>
            <w:gridSpan w:val="3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第四課 勞山道士</w:t>
            </w:r>
          </w:p>
        </w:tc>
        <w:tc>
          <w:tcPr>
            <w:tcW w:type="dxa" w:w="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79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exact"/>
              <w:ind w:left="299" w:hanging="299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開學、正式上課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16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714"/>
            <w:gridSpan w:val="3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第四課 勞山道士</w:t>
            </w:r>
          </w:p>
        </w:tc>
        <w:tc>
          <w:tcPr>
            <w:tcW w:type="dxa" w:w="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高二輔導課開始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第二課 出師表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79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exact"/>
              <w:ind w:left="299" w:hanging="299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第二課 出師表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clear" w:color="auto" w:fill="ffffff"/>
                <w:rtl w:val="0"/>
                <w:lang w:val="en-US"/>
              </w:rPr>
              <w:t>26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clear" w:color="auto" w:fill="ffffff"/>
                <w:rtl w:val="0"/>
                <w:lang w:val="zh-TW" w:eastAsia="zh-TW"/>
              </w:rPr>
              <w:t>補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clear" w:color="auto" w:fill="ffffff"/>
                <w:rtl w:val="0"/>
                <w:lang w:val="en-US"/>
              </w:rPr>
              <w:t>10/2</w:t>
            </w:r>
            <w:r>
              <w:rPr>
                <w:rStyle w:val="無"/>
                <w:rFonts w:eastAsia="Microsoft JhengHei" w:hint="eastAsia"/>
                <w:sz w:val="18"/>
                <w:szCs w:val="18"/>
                <w:shd w:val="clear" w:color="auto" w:fill="ffffff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5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第三課 兩個孔明的文化玄機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中秋節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調整放假</w:t>
            </w:r>
          </w:p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516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ind w:firstLine="100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87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6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9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6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第一課 飛魚季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補行放假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國慶日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8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6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9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56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第一次期中考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考試及解題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第六課 赤壁賦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12-13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第六課 赤壁賦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第八課 詞選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26-30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516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6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9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75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第八課 詞選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8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6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9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56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7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第五課 散戲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left="104" w:hanging="104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校慶補假</w:t>
            </w:r>
            <w:r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第五課 散戲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31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第七課 扼口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1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第二次期中考（考試及解題）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2-3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611" w:hRule="atLeast"/>
        </w:trPr>
        <w:tc>
          <w:tcPr>
            <w:tcW w:type="dxa" w:w="516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6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9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75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墨韓選讀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【墨子 公輸】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7-11</w:t>
            </w:r>
            <w:r>
              <w:rPr>
                <w:rStyle w:val="無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墨韓選讀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【韓非子 猛狗社鼠】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第十課 燭之武退秦師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21-25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作業抽查週</w:t>
            </w:r>
          </w:p>
        </w:tc>
      </w:tr>
      <w:tr>
        <w:tblPrEx>
          <w:shd w:val="clear" w:color="auto" w:fill="ced7e7"/>
        </w:tblPrEx>
        <w:trPr>
          <w:trHeight w:val="618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5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第九課 新詩選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16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86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87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6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6"/>
            <w:gridSpan w:val="2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75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第十一課 真愛　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 w:hint="default"/>
                <w:sz w:val="18"/>
                <w:szCs w:val="18"/>
                <w:shd w:val="nil" w:color="auto" w:fill="auto"/>
                <w:rtl w:val="0"/>
                <w:lang w:val="en-US"/>
              </w:rPr>
              <w:t>ˇ</w:t>
            </w:r>
          </w:p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Microsoft JhengHei" w:cs="Microsoft JhengHei" w:hAnsi="Microsoft JhengHei" w:eastAsia="Microsoft JhengHei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6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9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總複習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Microsoft JhengHei" w:hAnsi="Microsoft JhengHei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15-19</w:t>
            </w:r>
            <w:r>
              <w:rPr>
                <w:rStyle w:val="Hyperlink.0"/>
                <w:rFonts w:eastAsia="Microsoft JhengHei" w:hint="eastAsia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516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Microsoft JhengHei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Microsoft JhengHei" w:hAnsi="Microsoft JhengHei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714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4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Microsoft JhengHei" w:cs="Microsoft JhengHei" w:hAnsi="Microsoft JhengHei" w:eastAsia="Microsoft JhengHe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Microsoft JhengHei" w:hAnsi="Microsoft JhengHei"/>
                <w:sz w:val="18"/>
                <w:szCs w:val="18"/>
                <w:shd w:val="nil" w:color="auto" w:fill="auto"/>
                <w:rtl w:val="0"/>
                <w:lang w:val="en-US"/>
              </w:rPr>
              <w:t>22-23</w:t>
            </w:r>
            <w:r>
              <w:rPr>
                <w:rStyle w:val="Hyperlink.0"/>
                <w:rFonts w:eastAsia="Microsoft JhengHei" w:hint="eastAsia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大學學測</w:t>
            </w:r>
          </w:p>
        </w:tc>
      </w:tr>
    </w:tbl>
    <w:p>
      <w:pPr>
        <w:pStyle w:val="內文 A"/>
        <w:jc w:val="center"/>
      </w:pPr>
      <w:r>
        <w:rPr>
          <w:rStyle w:val="無"/>
          <w:rFonts w:ascii="Microsoft JhengHei" w:cs="Microsoft JhengHei" w:hAnsi="Microsoft JhengHei" w:eastAsia="Microsoft JhengHei"/>
          <w:sz w:val="32"/>
          <w:szCs w:val="32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