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臺北市立大直高級中學111學年度第一學期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國中部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6"/>
          <w:szCs w:val="36"/>
          <w:u w:val="single"/>
          <w:rtl w:val="0"/>
        </w:rPr>
        <w:t xml:space="preserve">視覺藝術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科教學活動計畫書</w:t>
      </w:r>
      <w:r w:rsidDel="00000000" w:rsidR="00000000" w:rsidRPr="00000000">
        <w:rPr>
          <w:rtl w:val="0"/>
        </w:rPr>
      </w:r>
    </w:p>
    <w:tbl>
      <w:tblPr>
        <w:tblStyle w:val="Table1"/>
        <w:tblW w:w="1040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1"/>
        <w:gridCol w:w="2835"/>
        <w:gridCol w:w="1701"/>
        <w:gridCol w:w="3215"/>
        <w:tblGridChange w:id="0">
          <w:tblGrid>
            <w:gridCol w:w="2651"/>
            <w:gridCol w:w="2835"/>
            <w:gridCol w:w="1701"/>
            <w:gridCol w:w="3215"/>
          </w:tblGrid>
        </w:tblGridChange>
      </w:tblGrid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任教班級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901~907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任課老師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    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蔡岳泰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一、教學目標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1.培養藝術涵養、技術與態度，樂於創作與體驗。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2.透過藝術活動，養成獨立思考，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3.能思辨科技、媒體與藝術之間的關係，建行創作與鑑賞。 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二、教材內容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課本、自編教材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三、作業內容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美術作品實作與呈現、學習單</w:t>
            </w:r>
          </w:p>
        </w:tc>
      </w:tr>
      <w:tr>
        <w:trPr>
          <w:cantSplit w:val="0"/>
          <w:trHeight w:val="8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四、平時成績評量方法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學習單、美術作品、課堂討論、檔案資料搜集正理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學期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成績計算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1.學習單、美術作品、課堂討論、檔案資料蒐集整理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2.實作評量30% ：實作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3.檔案評量70% : 美術作品集、學習態度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六、個人教學理念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透過藝術創作活動，培養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七、擬請家長協助事項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shd w:fill="fff2cc" w:val="clear"/>
                <w:rtl w:val="0"/>
              </w:rPr>
              <w:t xml:space="preserve">本學期課堂每人酌收150元材料費。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培養對於日常生活的體會與感知。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鼓勵學生一起參與各項藝文活動、展覽、體驗工作坊。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八、聯絡方式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ind w:left="1" w:hanging="3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​​02-25334017-155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headerReference r:id="rId7" w:type="even"/>
          <w:footerReference r:id="rId8" w:type="default"/>
          <w:footerReference r:id="rId9" w:type="even"/>
          <w:pgSz w:h="16838" w:w="11906" w:orient="portrait"/>
          <w:pgMar w:bottom="284" w:top="284" w:left="284" w:right="284" w:header="851" w:footer="21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【教學進度表】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(請特別確認各單元是否有議題融入，比如是否有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性別平等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相關單元)</w:t>
      </w:r>
      <w:r w:rsidDel="00000000" w:rsidR="00000000" w:rsidRPr="00000000">
        <w:rPr>
          <w:rtl w:val="0"/>
        </w:rPr>
      </w:r>
    </w:p>
    <w:tbl>
      <w:tblPr>
        <w:tblStyle w:val="Table2"/>
        <w:tblW w:w="104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  <w:tblGridChange w:id="0">
          <w:tblGrid>
            <w:gridCol w:w="480"/>
            <w:gridCol w:w="236"/>
            <w:gridCol w:w="124"/>
            <w:gridCol w:w="360"/>
            <w:gridCol w:w="337"/>
            <w:gridCol w:w="349"/>
            <w:gridCol w:w="86"/>
            <w:gridCol w:w="262"/>
            <w:gridCol w:w="349"/>
            <w:gridCol w:w="349"/>
            <w:gridCol w:w="316"/>
            <w:gridCol w:w="33"/>
            <w:gridCol w:w="1611"/>
            <w:gridCol w:w="1474"/>
            <w:gridCol w:w="426"/>
            <w:gridCol w:w="496"/>
            <w:gridCol w:w="496"/>
            <w:gridCol w:w="142"/>
            <w:gridCol w:w="1275"/>
            <w:gridCol w:w="1261"/>
          </w:tblGrid>
        </w:tblGridChange>
      </w:tblGrid>
      <w:tr>
        <w:trPr>
          <w:cantSplit w:val="1"/>
          <w:trHeight w:val="275" w:hRule="atLeast"/>
          <w:tblHeader w:val="0"/>
        </w:trPr>
        <w:tc>
          <w:tcPr>
            <w:gridSpan w:val="2"/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融入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議題</w:t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1.品德教育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2.環境教育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3.法治教育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4.永續發展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5.海洋教育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hyperlink r:id="rId10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人權教育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7.生命教育</w:t>
            </w:r>
          </w:p>
        </w:tc>
      </w:tr>
      <w:tr>
        <w:trPr>
          <w:cantSplit w:val="1"/>
          <w:trHeight w:val="275" w:hRule="atLeast"/>
          <w:tblHeader w:val="0"/>
        </w:trPr>
        <w:tc>
          <w:tcPr>
            <w:gridSpan w:val="2"/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8.家庭教育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  <w:rtl w:val="0"/>
              </w:rPr>
              <w:t xml:space="preserve">9.勞動教育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10.</w:t>
            </w:r>
            <w:hyperlink r:id="rId11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多元文化教育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  <w:rtl w:val="0"/>
              </w:rPr>
              <w:t xml:space="preserve">性別平等教育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12.生涯發展教育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13.消費者保護教育</w:t>
            </w:r>
          </w:p>
        </w:tc>
      </w:tr>
      <w:tr>
        <w:trPr>
          <w:cantSplit w:val="1"/>
          <w:trHeight w:val="275" w:hRule="atLeast"/>
          <w:tblHeader w:val="0"/>
        </w:trPr>
        <w:tc>
          <w:tcPr>
            <w:gridSpan w:val="2"/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4" w:val="single"/>
              <w:bottom w:color="000000" w:space="0" w:sz="1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14. 新移民多元文化教育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15.家庭暴力及性侵性騷教育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16. 其他(請說明)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 道德教育….等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1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份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週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次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2" w:right="212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預定進度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資訊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融入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議題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融入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89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重要行事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gridSpan w:val="1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範例(請將本列刪除)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5-2常見的有機化合物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2,4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八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1.課程介紹與注意事項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2.集體繪畫創作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 開學、正式上課、16:00放學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08:00-08:50大掃除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09:00-09:50導師時間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10:10開學典禮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30國八本位選課說明會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30-9/1幹部訓練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30-9/1國八本位線上選課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31國九輔導課開始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2國中聯課介紹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九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be4d5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繪畫技法</w:t>
            </w:r>
          </w:p>
          <w:p w:rsidR="00000000" w:rsidDel="00000000" w:rsidP="00000000" w:rsidRDefault="00000000" w:rsidRPr="00000000" w14:paraId="000000CF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5國八輔導課開始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5國中電子生涯手冊暨特教知能研習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6體育委員會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6國八本位選課結果公告與上課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6-7國九第1次複習考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 國八校外教學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8教學大綱及班級經營上傳截止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9中秋節補假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10中秋節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10校內轉介國中特教鑑定截止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當代藝術：達達主義</w:t>
            </w:r>
          </w:p>
          <w:p w:rsidR="00000000" w:rsidDel="00000000" w:rsidP="00000000" w:rsidRDefault="00000000" w:rsidRPr="00000000" w14:paraId="000000EE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12國中導師會議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 9:21-10:00防災演練預演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16學輔聯繫會議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17技職教育課程家長說明會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17學校日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行為藝術 &amp;錄像藝術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20 領航者會議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 9:21-10:00國家防災日校園防災演練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23國七新生健檢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23國九多元能力開發班始業式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24家長代表大會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1.觀念藝術</w:t>
            </w:r>
          </w:p>
          <w:p w:rsidR="00000000" w:rsidDel="00000000" w:rsidP="00000000" w:rsidRDefault="00000000" w:rsidRPr="00000000" w14:paraId="00000121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2.觀眾參與：關係藝術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27期初特教推行委員會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28教師節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28-30 國九教育旅行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1校內轉介高中特教鑑定截止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沈浸式展演互動設計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6" w:right="0" w:firstLine="2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3國九晚自習開始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6性別平等教育委員會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7輔導六合一會議(含生涯發展教育工作執行委員會)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沈浸式展演互動設計</w:t>
            </w:r>
          </w:p>
          <w:p w:rsidR="00000000" w:rsidDel="00000000" w:rsidP="00000000" w:rsidRDefault="00000000" w:rsidRPr="00000000" w14:paraId="00000153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10國慶日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12認輔老師會議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13親師家庭教育研習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13交通安全委員會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13-14第1次期中考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14-11/4年度學生音樂比賽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漫畫角色設計</w:t>
            </w:r>
          </w:p>
          <w:p w:rsidR="00000000" w:rsidDel="00000000" w:rsidP="00000000" w:rsidRDefault="00000000" w:rsidRPr="00000000" w14:paraId="0000016F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17全校導師會議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17-21特教線上知能研習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17-21期中教學研究會週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19田徑單項計時決賽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21全校大隊接力預賽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九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left w:color="000000" w:space="0" w:sz="4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gridSpan w:val="2"/>
            <w:tcBorders>
              <w:bottom w:color="000000" w:space="0" w:sz="18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漫畫構圖與編排</w:t>
            </w:r>
          </w:p>
          <w:p w:rsidR="00000000" w:rsidDel="00000000" w:rsidP="00000000" w:rsidRDefault="00000000" w:rsidRPr="00000000" w14:paraId="0000018B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24-11/4公開授課週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24生涯輔導知能研習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25 領航者會議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27國七健身操比賽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28國八啦啦隊比賽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動畫原理：手繪逐格動畫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59週年校慶預演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59週年校慶暨園遊會、班際大隊接力決賽</w:t>
            </w:r>
          </w:p>
        </w:tc>
      </w:tr>
      <w:tr>
        <w:trPr>
          <w:cantSplit w:val="1"/>
          <w:trHeight w:val="6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十一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偶動畫設計製作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7校慶補假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9全校學生流感疫苗施打(暫定)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10親師家庭教育研習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11專任老師座談會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ipad 塗鴉動畫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14-18 國語文競賽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18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ipad 塗鴉動畫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25多元能力開發班結業式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藝術策展&amp;博物館展覽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28國中導師會議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29領航者社群校際參訪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29-30第2次期中考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30國八社區高級中等學校專業群科參訪活動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十五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展示設計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5-9期末教學研究會週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5-9八九年級職群試探活動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8親師心理健康研習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9職場參訪體驗活動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展示設計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線上策展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19國中德行審查暨期末高關懷會議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19-23作業抽查週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19-29公開授課週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20國中課程核心小組會議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22感飢日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22-23國九第2次模擬考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線上策展</w:t>
            </w:r>
          </w:p>
          <w:p w:rsidR="00000000" w:rsidDel="00000000" w:rsidP="00000000" w:rsidRDefault="00000000" w:rsidRPr="00000000" w14:paraId="00000263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26英語文競賽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領航者會議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27期末特教推行委員會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28高三包高中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111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元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九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1.傳統藝術：飾紋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2.二方連續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1開國紀念日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2元旦補假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國中課發會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3-13身障生IEP會議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4期末生涯發展教育工作執行委員會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7補行1/20上班上課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1.傳統藝術彩繪與雕刻</w:t>
            </w:r>
          </w:p>
          <w:p w:rsidR="00000000" w:rsidDel="00000000" w:rsidP="00000000" w:rsidRDefault="00000000" w:rsidRPr="00000000" w14:paraId="0000029B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2.四方連續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10-13國八下學期本位選課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12國八輔導課結束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廿一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傳統藝術文創商品設計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19休業式、10:10校務會議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20調整放假、寒假開始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21-29春節假期</w:t>
            </w:r>
          </w:p>
        </w:tc>
      </w:tr>
    </w:tbl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284" w:top="284" w:left="284" w:right="284" w:header="851" w:footer="21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icrosoft JhengHei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1 -</w:t>
    </w:r>
  </w:p>
  <w:p w:rsidR="00000000" w:rsidDel="00000000" w:rsidP="00000000" w:rsidRDefault="00000000" w:rsidRPr="00000000" w14:paraId="000002C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標題1">
    <w:name w:val="標題 1"/>
    <w:basedOn w:val="內文"/>
    <w:next w:val="內文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新細明體" w:eastAsia="新細明體"/>
      <w:w w:val="100"/>
      <w:kern w:val="2"/>
      <w:position w:val="-1"/>
      <w:sz w:val="28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und"/>
    </w:rPr>
  </w:style>
  <w:style w:type="character" w:styleId="頁碼">
    <w:name w:val="頁碼"/>
    <w:basedOn w:val="預設段落字型"/>
    <w:next w:val="頁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本文縮排">
    <w:name w:val="本文縮排"/>
    <w:basedOn w:val="內文"/>
    <w:next w:val="本文縮排"/>
    <w:autoRedefine w:val="0"/>
    <w:hidden w:val="0"/>
    <w:qFormat w:val="0"/>
    <w:pPr>
      <w:widowControl w:val="0"/>
      <w:suppressAutoHyphens w:val="1"/>
      <w:spacing w:line="1" w:lineRule="atLeast"/>
      <w:ind w:left="720" w:leftChars="150" w:rightChars="0" w:hanging="360" w:firstLineChars="-150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本文">
    <w:name w:val="本文"/>
    <w:basedOn w:val="內文"/>
    <w:next w:val="本文"/>
    <w:autoRedefine w:val="0"/>
    <w:hidden w:val="0"/>
    <w:qFormat w:val="0"/>
    <w:pPr>
      <w:widowControl w:val="0"/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本文縮排2">
    <w:name w:val="本文縮排 2"/>
    <w:basedOn w:val="內文"/>
    <w:next w:val="本文縮排2"/>
    <w:autoRedefine w:val="0"/>
    <w:hidden w:val="0"/>
    <w:qFormat w:val="0"/>
    <w:pPr>
      <w:widowControl w:val="0"/>
      <w:suppressAutoHyphens w:val="1"/>
      <w:spacing w:after="120" w:line="480" w:lineRule="auto"/>
      <w:ind w:left="480" w:leftChars="200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純文字">
    <w:name w:val="純文字"/>
    <w:basedOn w:val="內文"/>
    <w:next w:val="純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細明體" w:cs="Courier New" w:eastAsia="細明體" w:hAnsi="Courier New"/>
      <w:w w:val="100"/>
      <w:kern w:val="2"/>
      <w:position w:val="-1"/>
      <w:sz w:val="24"/>
      <w:szCs w:val="24"/>
      <w:effect w:val="none"/>
      <w:vertAlign w:val="superscript"/>
      <w:cs w:val="0"/>
      <w:em w:val="none"/>
      <w:lang w:bidi="ar-SA" w:eastAsia="zh-TW" w:val="en-US"/>
    </w:rPr>
  </w:style>
  <w:style w:type="character" w:styleId="超連結">
    <w:name w:val="超連結"/>
    <w:next w:val="超連結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本文縮排3">
    <w:name w:val="本文縮排 3"/>
    <w:basedOn w:val="內文"/>
    <w:next w:val="本文縮排3"/>
    <w:autoRedefine w:val="0"/>
    <w:hidden w:val="0"/>
    <w:qFormat w:val="0"/>
    <w:pPr>
      <w:widowControl w:val="0"/>
      <w:suppressAutoHyphens w:val="1"/>
      <w:spacing w:after="120" w:line="1" w:lineRule="atLeast"/>
      <w:ind w:left="480" w:leftChars="200" w:rightChars="0" w:firstLineChars="-1"/>
      <w:textDirection w:val="btLr"/>
      <w:textAlignment w:val="top"/>
      <w:outlineLvl w:val="0"/>
    </w:pPr>
    <w:rPr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TW" w:val="en-US"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新細明體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HTML預設格式">
    <w:name w:val="HTML 預設格式"/>
    <w:basedOn w:val="內文"/>
    <w:next w:val="HTML預設格式"/>
    <w:autoRedefine w:val="0"/>
    <w:hidden w:val="0"/>
    <w:qFormat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細明體" w:cs="細明體" w:eastAsia="細明體" w:hAnsi="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日期,字元">
    <w:name w:val="日期, 字元"/>
    <w:basedOn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標楷體" w:eastAsia="標楷體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註釋標題">
    <w:name w:val="註釋標題"/>
    <w:basedOn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內文編號">
    <w:name w:val="內文編號"/>
    <w:basedOn w:val="內文"/>
    <w:next w:val="內文編號"/>
    <w:autoRedefine w:val="0"/>
    <w:hidden w:val="0"/>
    <w:qFormat w:val="0"/>
    <w:pPr>
      <w:widowControl w:val="0"/>
      <w:numPr>
        <w:ilvl w:val="0"/>
        <w:numId w:val="1"/>
      </w:numPr>
      <w:suppressAutoHyphens w:val="1"/>
      <w:adjustRightInd w:val="0"/>
      <w:spacing w:line="360" w:lineRule="atLeast"/>
      <w:ind w:leftChars="-1" w:rightChars="0" w:firstLineChars="-1"/>
      <w:jc w:val="both"/>
      <w:textDirection w:val="btLr"/>
      <w:textAlignment w:val="top"/>
      <w:outlineLvl w:val="0"/>
    </w:pPr>
    <w:rPr>
      <w:color w:val="0000ff"/>
      <w:w w:val="100"/>
      <w:kern w:val="0"/>
      <w:position w:val="-1"/>
      <w:sz w:val="24"/>
      <w:szCs w:val="20"/>
      <w:u w:val="single"/>
      <w:effect w:val="none"/>
      <w:vertAlign w:val="baseline"/>
      <w:cs w:val="0"/>
      <w:em w:val="none"/>
      <w:lang w:bidi="ar-SA" w:eastAsia="zh-TW" w:val="en-US"/>
    </w:rPr>
  </w:style>
  <w:style w:type="paragraph" w:styleId="學術期刊">
    <w:name w:val="學術期刊"/>
    <w:basedOn w:val="內文"/>
    <w:next w:val="學術期刊"/>
    <w:autoRedefine w:val="0"/>
    <w:hidden w:val="0"/>
    <w:qFormat w:val="0"/>
    <w:pPr>
      <w:widowControl w:val="0"/>
      <w:tabs>
        <w:tab w:val="left" w:leader="none" w:pos="340"/>
      </w:tabs>
      <w:suppressAutoHyphens w:val="1"/>
      <w:adjustRightInd w:val="0"/>
      <w:spacing w:afterLines="100" w:beforeLines="100" w:line="360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kern w:val="0"/>
      <w:position w:val="-1"/>
      <w:sz w:val="22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姓名">
    <w:name w:val="姓名"/>
    <w:basedOn w:val="內文"/>
    <w:next w:val="姓名"/>
    <w:autoRedefine w:val="0"/>
    <w:hidden w:val="0"/>
    <w:qFormat w:val="0"/>
    <w:pPr>
      <w:widowControl w:val="0"/>
      <w:tabs>
        <w:tab w:val="left" w:leader="none" w:pos="340"/>
      </w:tabs>
      <w:suppressAutoHyphens w:val="1"/>
      <w:adjustRightInd w:val="0"/>
      <w:spacing w:afterLines="100" w:beforeLines="200" w:line="360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kern w:val="0"/>
      <w:position w:val="-1"/>
      <w:sz w:val="28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區塊文字">
    <w:name w:val="區塊文字"/>
    <w:basedOn w:val="內文"/>
    <w:next w:val="區塊文字"/>
    <w:autoRedefine w:val="0"/>
    <w:hidden w:val="0"/>
    <w:qFormat w:val="0"/>
    <w:pPr>
      <w:widowControl w:val="0"/>
      <w:suppressAutoHyphens w:val="1"/>
      <w:spacing w:line="400" w:lineRule="atLeast"/>
      <w:ind w:left="1260" w:right="-38" w:leftChars="525" w:rightChars="-16" w:firstLineChars="-1"/>
      <w:textDirection w:val="btLr"/>
      <w:textAlignment w:val="top"/>
      <w:outlineLvl w:val="0"/>
    </w:pPr>
    <w:rPr>
      <w:rFonts w:ascii="標楷體" w:eastAsia="標楷體" w:hAnsi="標楷體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paragraph" w:styleId="本文2">
    <w:name w:val="本文 2"/>
    <w:basedOn w:val="內文"/>
    <w:next w:val="本文2"/>
    <w:autoRedefine w:val="0"/>
    <w:hidden w:val="0"/>
    <w:qFormat w:val="0"/>
    <w:pPr>
      <w:widowControl w:val="0"/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本文3">
    <w:name w:val="本文 3"/>
    <w:basedOn w:val="內文"/>
    <w:next w:val="本文3"/>
    <w:autoRedefine w:val="0"/>
    <w:hidden w:val="0"/>
    <w:qFormat w:val="0"/>
    <w:pPr>
      <w:widowControl w:val="0"/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TW" w:val="en-US"/>
    </w:rPr>
  </w:style>
  <w:style w:type="paragraph" w:styleId="內文(Web)">
    <w:name w:val="內文 (Web)"/>
    <w:basedOn w:val="內文"/>
    <w:next w:val="內文(Web)"/>
    <w:autoRedefine w:val="0"/>
    <w:hidden w:val="0"/>
    <w:qFormat w:val="0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新細明體" w:eastAsia="新細明體" w:hint="eastAsia"/>
      <w:color w:val="0000f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日期字元,字元字元1">
    <w:name w:val="日期 字元, 字元 字元1"/>
    <w:next w:val="日期字元,字元字元1"/>
    <w:autoRedefine w:val="0"/>
    <w:hidden w:val="0"/>
    <w:qFormat w:val="0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paragraph" w:styleId="PlainText">
    <w:name w:val="Plain Text"/>
    <w:basedOn w:val="內文"/>
    <w:next w:val="PlainText"/>
    <w:autoRedefine w:val="0"/>
    <w:hidden w:val="0"/>
    <w:qFormat w:val="0"/>
    <w:pPr>
      <w:widowControl w:val="0"/>
      <w:suppressAutoHyphens w:val="1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細明體" w:eastAsia="細明體" w:hAnsi="Courier New"/>
      <w:w w:val="100"/>
      <w:kern w:val="2"/>
      <w:position w:val="-1"/>
      <w:sz w:val="28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問候">
    <w:name w:val="問候"/>
    <w:basedOn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標楷體" w:eastAsia="標楷體" w:hAnsi="標楷體"/>
      <w:w w:val="100"/>
      <w:kern w:val="2"/>
      <w:position w:val="-1"/>
      <w:sz w:val="26"/>
      <w:szCs w:val="26"/>
      <w:effect w:val="none"/>
      <w:vertAlign w:val="baseline"/>
      <w:cs w:val="0"/>
      <w:em w:val="none"/>
      <w:lang w:bidi="ar-SA" w:eastAsia="zh-TW" w:val="en-US"/>
    </w:rPr>
  </w:style>
  <w:style w:type="paragraph" w:styleId="結語">
    <w:name w:val="結語"/>
    <w:basedOn w:val="內文"/>
    <w:next w:val="結語"/>
    <w:autoRedefine w:val="0"/>
    <w:hidden w:val="0"/>
    <w:qFormat w:val="0"/>
    <w:pPr>
      <w:widowControl w:val="0"/>
      <w:suppressAutoHyphens w:val="1"/>
      <w:spacing w:line="1" w:lineRule="atLeast"/>
      <w:ind w:left="100" w:leftChars="1800" w:rightChars="0" w:firstLineChars="-1"/>
      <w:textDirection w:val="btLr"/>
      <w:textAlignment w:val="top"/>
      <w:outlineLvl w:val="0"/>
    </w:pPr>
    <w:rPr>
      <w:rFonts w:ascii="標楷體" w:eastAsia="標楷體" w:hAnsi="標楷體"/>
      <w:w w:val="100"/>
      <w:kern w:val="2"/>
      <w:position w:val="-1"/>
      <w:sz w:val="26"/>
      <w:szCs w:val="26"/>
      <w:effect w:val="none"/>
      <w:vertAlign w:val="baseline"/>
      <w:cs w:val="0"/>
      <w:em w:val="none"/>
      <w:lang w:bidi="ar-SA" w:eastAsia="zh-TW" w:val="en-US"/>
    </w:rPr>
  </w:style>
  <w:style w:type="paragraph" w:styleId="字元2">
    <w:name w:val="字元2"/>
    <w:basedOn w:val="內文"/>
    <w:next w:val="字元2"/>
    <w:autoRedefine w:val="0"/>
    <w:hidden w:val="0"/>
    <w:qFormat w:val="0"/>
    <w:pPr>
      <w:widowControl w:val="1"/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Tahoma" w:eastAsia="新細明體" w:hAnsi="Tahoma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目次1">
    <w:name w:val="目次1"/>
    <w:basedOn w:val="內文"/>
    <w:next w:val="目次1"/>
    <w:autoRedefine w:val="0"/>
    <w:hidden w:val="0"/>
    <w:qFormat w:val="0"/>
    <w:pPr>
      <w:widowControl w:val="0"/>
      <w:suppressAutoHyphens w:val="1"/>
      <w:adjustRightInd w:val="0"/>
      <w:spacing w:before="72" w:beforeLines="30" w:line="360" w:lineRule="atLeast"/>
      <w:ind w:leftChars="-1" w:rightChars="0" w:firstLineChars="-1"/>
      <w:textDirection w:val="btLr"/>
      <w:textAlignment w:val="baseline"/>
      <w:outlineLvl w:val="0"/>
    </w:pPr>
    <w:rPr>
      <w:rFonts w:ascii="標楷體" w:eastAsia="標楷體" w:hAnsi="標楷體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character" w:styleId="目次1字元">
    <w:name w:val="目次1 字元"/>
    <w:next w:val="目次1字元"/>
    <w:autoRedefine w:val="0"/>
    <w:hidden w:val="0"/>
    <w:qFormat w:val="0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paragraph" w:styleId="字元">
    <w:name w:val="字元"/>
    <w:basedOn w:val="內文"/>
    <w:next w:val="字元"/>
    <w:autoRedefine w:val="0"/>
    <w:hidden w:val="0"/>
    <w:qFormat w:val="0"/>
    <w:pPr>
      <w:widowControl w:val="1"/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Tahoma" w:eastAsia="新細明體" w:hAnsi="Tahoma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ListParagraph">
    <w:name w:val="List Paragraph"/>
    <w:basedOn w:val="內文"/>
    <w:next w:val="ListParagraph"/>
    <w:autoRedefine w:val="0"/>
    <w:hidden w:val="0"/>
    <w:qFormat w:val="0"/>
    <w:pPr>
      <w:widowControl w:val="0"/>
      <w:suppressAutoHyphens w:val="1"/>
      <w:spacing w:line="1" w:lineRule="atLeast"/>
      <w:ind w:left="480" w:leftChars="200" w:rightChars="0" w:firstLineChars="-1"/>
      <w:textDirection w:val="btLr"/>
      <w:textAlignment w:val="top"/>
      <w:outlineLvl w:val="0"/>
    </w:pPr>
    <w:rPr>
      <w:rFonts w:ascii="Calibri" w:eastAsia="新細明體" w:hAnsi="Calibri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paragraph" w:styleId="彩色清單-輔色11">
    <w:name w:val="彩色清單 - 輔色 11"/>
    <w:basedOn w:val="內文"/>
    <w:next w:val="彩色清單-輔色11"/>
    <w:autoRedefine w:val="0"/>
    <w:hidden w:val="0"/>
    <w:qFormat w:val="0"/>
    <w:pPr>
      <w:widowControl w:val="0"/>
      <w:suppressAutoHyphens w:val="1"/>
      <w:spacing w:line="1" w:lineRule="atLeast"/>
      <w:ind w:left="480" w:leftChars="200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標楷體" w:cs="標楷體" w:eastAsia="標楷體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hyperlink" Target="http://www.edu.tw/files/site_content/B0055/5%E4%BA%BA%E6%AC%8A%E6%95%99%E8%82%B2%E8%AD%B0%E9%A1%8C1000111.pdf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WPEE74E1xHV/2Xl9w+psK8ftzg==">AMUW2mUuqCtEgYG/ylYXOQEuNK5fAH1IKisFcD3t/qRfzF2JpkywkVpT6PD/1Xih9lw/8j/cmL8WxNDSGlxG8tLnCuxfzmEnHsWu3GSQ6pw/WZY7pvmuB/M=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2021-02-17T05:15:00Z</dcterms:created>
  <dc:creator>九十年度電腦設備購置案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