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臺北市立大直高級中學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112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學年度第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學期</w:t>
      </w:r>
    </w:p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高中部 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</w:t>
      </w:r>
      <w:r>
        <w:rPr>
          <w:rFonts w:eastAsia="Microsoft JhengHei" w:hint="eastAsia"/>
          <w:sz w:val="36"/>
          <w:szCs w:val="36"/>
          <w:rtl w:val="0"/>
          <w:lang w:val="zh-TW" w:eastAsia="zh-TW"/>
        </w:rPr>
        <w:t>國文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 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科教學活動計畫書</w:t>
      </w:r>
    </w:p>
    <w:tbl>
      <w:tblPr>
        <w:tblW w:w="113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95"/>
        <w:gridCol w:w="3452"/>
        <w:gridCol w:w="1932"/>
        <w:gridCol w:w="3653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3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H203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、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H210</w:t>
            </w:r>
          </w:p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1" w:hanging="1"/>
              <w:jc w:val="center"/>
            </w:pPr>
            <w:r>
              <w:rPr>
                <w:rFonts w:eastAsia="Microsoft JhengHei" w:hint="eastAsia"/>
                <w:position w:val="-4"/>
                <w:sz w:val="28"/>
                <w:szCs w:val="2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"/>
              </w:numPr>
              <w:spacing w:line="240" w:lineRule="auto"/>
              <w:rPr>
                <w:rFonts w:eastAsia="Microsoft JhengHei" w:hint="eastAsia"/>
                <w:position w:val="-4"/>
                <w:lang w:val="zh-TW" w:eastAsia="zh-TW"/>
              </w:rPr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</w:rPr>
              <w:t>培養閱讀文言文及淺近古籍之興趣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4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</w:rPr>
              <w:t>提高閱讀及寫作之能力，並熟練口語表達與應用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4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</w:rPr>
              <w:t>經由語文教育，培養關懷社會、尊重多元文化的內心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4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</w:rPr>
              <w:t>閱讀優質課外讀物，增進文藝欣賞與創作之能力，開拓生活視野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spacing w:line="240" w:lineRule="auto"/>
              <w:rPr>
                <w:rFonts w:eastAsia="Microsoft JhengHei" w:hint="eastAsia"/>
                <w:position w:val="-4"/>
                <w:lang w:val="zh-TW" w:eastAsia="zh-TW"/>
              </w:rPr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</w:rPr>
              <w:t>課本、語文養成習作、國文學習講義、課外閱讀文選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4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</w:rPr>
              <w:t>讀力關鍵：閱讀素養新攻略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4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</w:rPr>
              <w:t>教師自編教材、投影片及學習單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作文、閱讀心得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南一《跨閱與思辨》課外補充閱讀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作業訂正：考卷、習作、補充講義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4.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其他指定項目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課堂作業、作文：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50%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平時測驗（默書、測驗卷）：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50%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其他加分項目（課程參與等）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70%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：第一次段考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 xml:space="preserve">30%   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第二次段考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 xml:space="preserve">30%   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期末考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40%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30%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：平時成績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六、可上傳學習歷程檔案課程學習成果之作品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讀書心得、個人創作、課堂指定作業</w:t>
            </w:r>
          </w:p>
        </w:tc>
      </w:tr>
      <w:tr>
        <w:tblPrEx>
          <w:shd w:val="clear" w:color="auto" w:fill="ced7e7"/>
        </w:tblPrEx>
        <w:trPr>
          <w:trHeight w:val="1351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七、個人教學理念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3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編號"/>
              <w:numPr>
                <w:ilvl w:val="0"/>
                <w:numId w:val="3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八、擬請家長協助事項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Arial Unicode MS" w:hAnsi="Arial Unicode MS" w:eastAsia="Microsoft JhengHei" w:hint="eastAsia"/>
                <w:rtl w:val="0"/>
                <w:lang w:val="zh-TW" w:eastAsia="zh-TW"/>
              </w:rPr>
              <w:t>請叮囑孩子在規定時間內完成個人</w:t>
            </w:r>
            <w:r>
              <w:rPr>
                <w:rFonts w:ascii="Arial Unicode MS" w:hAnsi="Arial Unicode MS" w:eastAsia="Microsoft JhengHei" w:hint="eastAsia"/>
                <w:rtl w:val="0"/>
                <w:lang w:val="zh-TW" w:eastAsia="zh-TW"/>
              </w:rPr>
              <w:t>學習歷程檔案</w:t>
            </w:r>
            <w:r>
              <w:rPr>
                <w:rFonts w:ascii="Arial Unicode MS" w:hAnsi="Arial Unicode MS" w:eastAsia="Microsoft JhengHei" w:hint="eastAsia"/>
                <w:rtl w:val="0"/>
                <w:lang w:val="zh-TW" w:eastAsia="zh-TW"/>
              </w:rPr>
              <w:t>資料，並在指定時間完成上傳。</w:t>
            </w:r>
          </w:p>
          <w:p>
            <w:pPr>
              <w:pStyle w:val="內文"/>
              <w:bidi w:val="0"/>
            </w:pPr>
            <w:r>
              <w:rPr>
                <w:rtl w:val="0"/>
              </w:rPr>
              <w:t>2.</w:t>
            </w:r>
            <w:r>
              <w:rPr>
                <w:rFonts w:ascii="Arial Unicode MS" w:hAnsi="Arial Unicode MS" w:eastAsia="Microsoft JhengHei" w:hint="eastAsia"/>
                <w:rtl w:val="0"/>
                <w:lang w:val="zh-TW" w:eastAsia="zh-TW"/>
              </w:rPr>
              <w:t>請鼓勵並培養孩子關心時事的態度及廣泛的閱讀習慣，持續累積閱讀素材及思考內容，留下文字心得。</w:t>
            </w:r>
          </w:p>
          <w:p>
            <w:pPr>
              <w:pStyle w:val="內文"/>
              <w:bidi w:val="0"/>
            </w:pPr>
            <w:r>
              <w:rPr>
                <w:rtl w:val="0"/>
              </w:rPr>
              <w:t>3.</w:t>
            </w:r>
            <w:r>
              <w:rPr>
                <w:rFonts w:ascii="Arial Unicode MS" w:hAnsi="Arial Unicode MS" w:eastAsia="Microsoft JhengHei" w:hint="eastAsia"/>
                <w:rtl w:val="0"/>
                <w:lang w:val="zh-TW" w:eastAsia="zh-TW"/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九、聯絡方式</w:t>
            </w:r>
          </w:p>
        </w:tc>
        <w:tc>
          <w:tcPr>
            <w:tcW w:type="dxa" w:w="90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eastAsia="標楷體-繁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（</w:t>
            </w:r>
            <w:r>
              <w:rPr>
                <w:rFonts w:ascii="標楷體-繁" w:hAnsi="標楷體-繁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02</w:t>
            </w:r>
            <w:r>
              <w:rPr>
                <w:rFonts w:eastAsia="標楷體-繁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）</w:t>
            </w:r>
            <w:r>
              <w:rPr>
                <w:rFonts w:ascii="標楷體-繁" w:hAnsi="標楷體-繁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2533-4017</w:t>
            </w:r>
            <w:r>
              <w:rPr>
                <w:rFonts w:eastAsia="標楷體-繁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分機</w:t>
            </w:r>
            <w:r>
              <w:rPr>
                <w:rFonts w:ascii="標楷體-繁" w:hAnsi="標楷體-繁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214</w:t>
            </w:r>
            <w:r>
              <w:rPr>
                <w:rFonts w:eastAsia="標楷體-繁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、</w:t>
            </w:r>
            <w:r>
              <w:rPr>
                <w:rFonts w:ascii="標楷體-繁" w:hAnsi="標楷體-繁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215</w:t>
            </w:r>
            <w:r>
              <w:rPr>
                <w:rFonts w:eastAsia="標楷體-繁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、</w:t>
            </w:r>
            <w:r>
              <w:rPr>
                <w:rFonts w:ascii="標楷體-繁" w:hAnsi="標楷體-繁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216</w:t>
            </w:r>
          </w:p>
        </w:tc>
      </w:tr>
    </w:tbl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pgNumType w:start="1"/>
          <w:bidi w:val="0"/>
        </w:sectPr>
      </w:pPr>
    </w:p>
    <w:p>
      <w:pPr>
        <w:pStyle w:val="Normal.0"/>
        <w:spacing w:line="240" w:lineRule="auto"/>
        <w:ind w:left="1" w:hanging="1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  <w:r>
        <w:rPr>
          <w:rFonts w:ascii="Microsoft JhengHei" w:hAnsi="Microsoft JhengHei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eastAsia="Microsoft JhengHei" w:hint="eastAsia"/>
          <w:outline w:val="0"/>
          <w:color w:val="000000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請特別確認是否有</w:t>
      </w:r>
      <w:r>
        <w:rPr>
          <w:rFonts w:eastAsia="Microsoft JhengHei" w:hint="eastAsia"/>
          <w:outline w:val="0"/>
          <w:color w:val="000000"/>
          <w:u w:val="single"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性別平等</w:t>
      </w:r>
      <w:r>
        <w:rPr>
          <w:rFonts w:eastAsia="Microsoft JhengHei" w:hint="eastAsia"/>
          <w:outline w:val="0"/>
          <w:color w:val="000000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相關單元</w:t>
      </w:r>
      <w:r>
        <w:rPr>
          <w:rFonts w:ascii="Microsoft JhengHei" w:hAnsi="Microsoft JhengHei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科技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資訊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能源</w:t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安全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防災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261"/>
            <w:tcBorders>
              <w:top w:val="nil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生涯規劃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閱讀素養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17.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戶外教育</w:t>
            </w:r>
          </w:p>
        </w:tc>
        <w:tc>
          <w:tcPr>
            <w:tcW w:type="dxa" w:w="147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18.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國際教育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19.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原住民教育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20.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:________(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Normal.0"/>
              <w:spacing w:line="240" w:lineRule="auto"/>
              <w:ind w:right="212"/>
              <w:jc w:val="both"/>
            </w:pPr>
            <w:r>
              <w:rPr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Normal.0"/>
              <w:spacing w:line="240" w:lineRule="auto"/>
              <w:ind w:right="89"/>
              <w:jc w:val="both"/>
            </w:pPr>
            <w:r>
              <w:rPr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24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開學，寒假作業繳交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第一課〈張李德和詩文選〉</w:t>
            </w:r>
            <w:r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正式上課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16-19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高三多元選修選課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2/15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課程，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17-3/7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高二自主學習</w:t>
            </w:r>
          </w:p>
        </w:tc>
      </w:tr>
      <w:tr>
        <w:tblPrEx>
          <w:shd w:val="clear" w:color="auto" w:fill="ced7e7"/>
        </w:tblPrEx>
        <w:trPr>
          <w:trHeight w:val="4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第一課〈張李德和詩文選〉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課外閱讀文選〈蘭亭集序〉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作文一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18-20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高一多元選修加退選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21-23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高二多元選修加退選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21-3/20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高三多元選修選課結果公告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22</w:t>
            </w:r>
            <w:r>
              <w:rPr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高三第一次分科測驗模擬考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公布高中補考成績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高三課諮師入班宣導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高三多元選修上課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23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第二課〈天才夢〉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第三課〈赤壁賦〉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高中部輔導課開始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學測成績公告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第三課〈赤壁賦〉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課外閱讀文選〈黃州快哉亭記〉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4-4/7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112-2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(17:00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止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中學生讀書心得比賽投稿截止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(12:00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課外閱讀文選〈黃州快哉亭記〉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第四課〈尋熊記〉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11-21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中學生小論文比賽投稿截止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(12:00)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考前複習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第一次期中考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21-22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高中第</w:t>
            </w: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配合會考準備工作全校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第五課〈大同與小康〉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課外閱讀文選〈原君〉</w:t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25-4/12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27-5/2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高一自主學習先備課程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28-4/18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高二自主學習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28-5/3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高一游泳課程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課外閱讀文選〈原君〉</w:t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1-9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高二籃球比賽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4-5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第六課〈死去活來〉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課外閱讀文選〈何必待零落〉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作文二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112-2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課程成果上傳截止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高三教師學習歷程檔案</w:t>
            </w:r>
            <w:r>
              <w:rPr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112-2</w:t>
            </w:r>
            <w:r>
              <w:rPr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課程成果認證截止</w:t>
            </w: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課程成果、多元表現勾選截止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高二課諮師入班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第七課〈詞選〉</w:t>
            </w:r>
            <w:r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高一二導師會議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高三輔導課結束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高一二課諮師入班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183"/>
              </w:tabs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課外閱讀文選〈詞選〉</w:t>
            </w:r>
            <w:r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22-25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全中運停課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第八課〈豐富我的天使們〉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考前複習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29-5/6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30-5/1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高三期末考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27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第九課〈諫逐客書〉</w:t>
            </w:r>
            <w:r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高三德行審查會議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6-7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高一二第</w:t>
            </w: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配合會考準備工作全校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高三第二次分科測驗模擬考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公告高三補考名單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8-6/19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9-6/6</w:t>
            </w:r>
            <w:r>
              <w:rPr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高二自主學習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第九課〈諫逐客書〉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課外閱讀文選〈過秦〉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高一排球比賽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準備會考工作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課外閱讀文選〈過秦〉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第十課〈現代詩選〉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高一二德行審查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高三補考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 KO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拉卡決賽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春季舞會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27-6/7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公告高三重修名單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高二數理資優班獨研成發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29-30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高三重修申請繳費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第十課〈現代詩選〉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第十一課〈俊興街二二四巷〉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作文三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畢業典禮預演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3-7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作業抽查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5-30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高三重修課程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5-7/11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高三分科測驗衝刺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高二校訂必修成果發表會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課外閱讀文選〈老莊選讀〉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端午節放假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高一二輔導課結束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高二自主學習成果發表會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暫訂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課外閱讀文選〈老莊選讀〉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</w:rPr>
            </w:pPr>
            <w:r>
              <w:rPr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17-26</w:t>
            </w:r>
            <w:r>
              <w:rPr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18</w:t>
            </w:r>
            <w:r>
              <w:rPr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高中課程評鑑小組會議暨課發會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考前複習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25-27</w:t>
            </w:r>
            <w:r>
              <w:rPr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高三晚自習結束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</w:tc>
      </w:tr>
    </w:tbl>
    <w:p>
      <w:pPr>
        <w:pStyle w:val="Normal.0"/>
        <w:spacing w:line="240" w:lineRule="auto"/>
        <w:jc w:val="center"/>
      </w:pPr>
      <w:r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標楷體-繁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153"/>
        <w:tab w:val="right" w:pos="8306"/>
      </w:tabs>
      <w:spacing w:line="240" w:lineRule="auto"/>
      <w:jc w:val="center"/>
    </w:pP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4 -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3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7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1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3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7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1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2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480" w:right="0" w:hanging="1"/>
      <w:jc w:val="left"/>
      <w:outlineLvl w:val="0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2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編號">
    <w:name w:val="內文編號"/>
    <w:next w:val="內文編號"/>
    <w:pPr>
      <w:keepNext w:val="0"/>
      <w:keepLines w:val="0"/>
      <w:pageBreakBefore w:val="0"/>
      <w:widowControl w:val="0"/>
      <w:shd w:val="clear" w:color="auto" w:fill="auto"/>
      <w:tabs>
        <w:tab w:val="left" w:pos="720"/>
      </w:tabs>
      <w:suppressAutoHyphens w:val="1"/>
      <w:bidi w:val="0"/>
      <w:spacing w:before="0" w:after="0" w:line="360" w:lineRule="atLeast"/>
      <w:ind w:left="0" w:right="0" w:firstLine="0"/>
      <w:jc w:val="both"/>
      <w:outlineLvl w:val="0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-2"/>
      <w:sz w:val="24"/>
      <w:szCs w:val="24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