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112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 xml:space="preserve"> 九年級視覺藝術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265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PingFang TC Regular" w:hAnsi="PingFang TC Regular" w:eastAsia="Arial Unicode MS"/>
                <w:kern w:val="2"/>
                <w:rtl w:val="0"/>
                <w:lang w:val="en-US"/>
              </w:rPr>
              <w:t>901</w:t>
            </w:r>
            <w:r>
              <w:rPr>
                <w:kern w:val="2"/>
                <w:rtl w:val="0"/>
                <w:lang w:val="zh-TW" w:eastAsia="zh-TW"/>
              </w:rPr>
              <w:t>、</w:t>
            </w:r>
            <w:r>
              <w:rPr>
                <w:rFonts w:ascii="PingFang TC Regular" w:hAnsi="PingFang TC Regular" w:eastAsia="Arial Unicode MS"/>
                <w:kern w:val="2"/>
                <w:rtl w:val="0"/>
                <w:lang w:val="en-US"/>
              </w:rPr>
              <w:t>905</w:t>
            </w:r>
          </w:p>
        </w:tc>
        <w:tc>
          <w:tcPr>
            <w:tcW w:type="dxa" w:w="17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kern w:val="2"/>
                <w:rtl w:val="0"/>
                <w:lang w:val="zh-TW" w:eastAsia="zh-TW"/>
              </w:rPr>
              <w:t>張幼玫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1"/>
              </w:numPr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kern w:val="2"/>
                <w:rtl w:val="0"/>
                <w:lang w:val="zh-TW" w:eastAsia="zh-TW"/>
              </w:rPr>
              <w:t>承襲上學期視覺藝術課程：自己的房間（手機攝影）、基礎化妝與特殊妝（色彩）、物件與動作（錄影與手作戲偶），本學期統整上學期所學，以物件劇場為題材設計課程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自編為主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課程實作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課堂筆記與學習檔案、實作練習、課堂觀察、學生自評與互評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五、</w:t>
            </w:r>
            <w:r>
              <w:rPr>
                <w:outline w:val="0"/>
                <w:color w:val="ff000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學期</w:t>
            </w:r>
            <w:r>
              <w:rPr>
                <w:shd w:val="nil" w:color="auto" w:fill="auto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zh-TW" w:eastAsia="zh-TW"/>
              </w:rPr>
              <w:t>課程參與</w:t>
            </w:r>
            <w:r>
              <w:rPr>
                <w:rFonts w:ascii="PingFang TC Regular" w:hAnsi="PingFang TC Regular" w:eastAsia="Arial Unicode MS"/>
                <w:rtl w:val="0"/>
                <w:lang w:val="en-US" w:eastAsia="zh-TW"/>
              </w:rPr>
              <w:t>20%</w:t>
            </w:r>
          </w:p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zh-TW" w:eastAsia="zh-TW"/>
              </w:rPr>
              <w:t>實作作品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80%</w:t>
            </w:r>
            <w:r>
              <w:rPr>
                <w:rtl w:val="0"/>
                <w:lang w:val="zh-TW" w:eastAsia="zh-TW"/>
              </w:rPr>
              <w:t>（個人、</w:t>
            </w:r>
            <w:r>
              <w:rPr>
                <w:rtl w:val="0"/>
                <w:lang w:val="en-US"/>
              </w:rPr>
              <w:t>小組練習與呈現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60</w:t>
            </w:r>
            <w:r>
              <w:rPr>
                <w:rtl w:val="0"/>
                <w:lang w:val="zh-TW" w:eastAsia="zh-TW"/>
              </w:rPr>
              <w:t>％）</w:t>
            </w:r>
          </w:p>
        </w:tc>
      </w:tr>
      <w:tr>
        <w:tblPrEx>
          <w:shd w:val="clear" w:color="auto" w:fill="ced7e7"/>
        </w:tblPrEx>
        <w:trPr>
          <w:trHeight w:val="130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視覺藝術與表演藝術一樣，不只是娛樂，也是檢視自我、促進思考、提升生活品質的媒介重要的生活能力。在這堂課程中，希望學生如期完成任務，並在執行任務期間，運用簡單的技巧、無邊的想像力，讓物件與偶能夠躍然指上，記錄呈現生活所得。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kern w:val="2"/>
                <w:rtl w:val="0"/>
                <w:lang w:val="zh-TW" w:eastAsia="zh-TW"/>
              </w:rPr>
              <w:t>理解孩子學習過程中可能需要付出的時間與心力，遇挫時包容鼓勵並支持。行有餘力，帶他們觀賞演出</w:t>
            </w:r>
            <w:r>
              <w:rPr>
                <w:rFonts w:ascii="PingFang TC Regular" w:hAnsi="PingFang TC Regular" w:eastAsia="Arial Unicode MS" w:hint="default"/>
                <w:kern w:val="2"/>
                <w:rtl w:val="0"/>
                <w:lang w:val="zh-TW" w:eastAsia="zh-TW"/>
              </w:rPr>
              <w:t>——</w:t>
            </w:r>
            <w:r>
              <w:rPr>
                <w:kern w:val="2"/>
                <w:rtl w:val="0"/>
                <w:lang w:val="zh-TW" w:eastAsia="zh-TW"/>
              </w:rPr>
              <w:t>進入表演場所尤佳，在家觀賞影視也無妨。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"mailto:amegocym@yahoo.com.tw"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ascii="PingFang TC Regular" w:hAnsi="PingFang TC Regular" w:eastAsia="Arial Unicode MS"/>
                <w:rtl w:val="0"/>
                <w:lang w:val="en-US"/>
              </w:rPr>
              <w:t>amegocym@yahoo.com.tw</w:t>
            </w:r>
            <w:r>
              <w:rPr/>
              <w:fldChar w:fldCharType="end" w:fldLock="0"/>
            </w:r>
            <w:r>
              <w:rPr>
                <w:rFonts w:ascii="PingFang TC Regular" w:hAnsi="PingFang TC Regular" w:eastAsia="Arial Unicode MS"/>
                <w:rtl w:val="0"/>
                <w:lang w:val="zh-TW" w:eastAsia="zh-TW"/>
              </w:rPr>
              <w:t xml:space="preserve">  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0937365438</w:t>
            </w:r>
            <w:r>
              <w:rPr>
                <w:rtl w:val="0"/>
                <w:lang w:val="zh-TW" w:eastAsia="zh-TW"/>
              </w:rPr>
              <w:t>（</w:t>
            </w:r>
            <w:r>
              <w:rPr>
                <w:rtl w:val="0"/>
                <w:lang w:val="en-US"/>
              </w:rPr>
              <w:t>也是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Line</w:t>
            </w:r>
            <w:r>
              <w:rPr>
                <w:rFonts w:ascii="PingFang TC Regular" w:hAnsi="PingFang TC Regular" w:eastAsia="Arial Unicode MS"/>
                <w:rtl w:val="0"/>
                <w:lang w:val="zh-TW" w:eastAsia="zh-TW"/>
              </w:rPr>
              <w:t xml:space="preserve"> 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ID</w:t>
            </w:r>
            <w:r>
              <w:rPr>
                <w:rtl w:val="0"/>
                <w:lang w:val="zh-TW" w:eastAsia="zh-TW"/>
              </w:rPr>
              <w:t>）</w:t>
            </w:r>
          </w:p>
        </w:tc>
      </w:tr>
    </w:tbl>
    <w:p>
      <w:pPr>
        <w:pStyle w:val="內文 A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484"/>
        <w:gridCol w:w="1602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環境教育</w:t>
            </w:r>
          </w:p>
        </w:tc>
        <w:tc>
          <w:tcPr>
            <w:tcW w:type="dxa" w:w="1643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法治教育</w:t>
            </w:r>
          </w:p>
        </w:tc>
        <w:tc>
          <w:tcPr>
            <w:tcW w:type="dxa" w:w="1601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人權教育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勞動教育</w:t>
            </w:r>
          </w:p>
        </w:tc>
        <w:tc>
          <w:tcPr>
            <w:tcW w:type="dxa" w:w="164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多元文化教育</w:t>
            </w:r>
          </w:p>
        </w:tc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14.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16.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其他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請說明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道德教育</w:t>
            </w: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3280"/>
            <w:gridSpan w:val="1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範例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(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請將本列刪除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)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5-2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常見的有機化合物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2,4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10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成績確認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開學、正式上課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08:00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導師時間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09:00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開學典禮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正式上課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幹部訓練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2/8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上班，補行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2/15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2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專題討論（模考前）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atLeas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國九輔導課、晚自習開始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體育委員會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21-22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國九第三次複習考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be4d5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手套偶的角色與呈現（一）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國八輔導課開始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2709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防災疏散預演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優良生自我介紹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20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手套偶的角色與呈現（二）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優良生投票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6 09:20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防災疏散正式演練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7-8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國八隔宿露營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CPR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戲台上的空間設計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認輔教師會議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交通安全委員會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標楷體" w:hint="eastAsia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第一次卷務組長工作講習會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手套偶與物件劇場排練呈現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21-22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國七八第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配合會考準備工作，全校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第一次試務工作講習會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光影與鏡頭概念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25-4/12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感飢日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29KO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拉卡初賽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國七八人身安全講座</w:t>
            </w:r>
          </w:p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光影故事創作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1-3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國八籃球比賽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2-3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國七校外教學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4-5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光影角色與場景創作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國七八導師會議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10-16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光影創作排練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多元議題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國九第四次複習考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HPV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接種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第二次卷務組長工作講習會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光影創作呈現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22-25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全中運停課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圖委會及資委會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83"/>
              </w:tabs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從光影到電影（一）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多元議題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國中第二次課發會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輔導轉銜會議</w:t>
            </w:r>
          </w:p>
        </w:tc>
      </w:tr>
      <w:tr>
        <w:tblPrEx>
          <w:shd w:val="clear" w:color="auto" w:fill="ced7e7"/>
        </w:tblPrEx>
        <w:trPr>
          <w:trHeight w:val="16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從光影到電影（二）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6-7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國七八第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配合會考準備工作，全校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第二次試務工作講習會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國九包高中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國七八法治教育講座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從光影到電影（三）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國九德行審查會議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國七跳繩比賽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國八桌球比賽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書評會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考場試務工作協調會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準備會考工作，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18-19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國中教育會考、擔任會考副主委學校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影像與節奏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24KO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影像作業分享與討論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國九導師志願選填輔導研習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27-31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27-6/7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200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畢業典禮（停課）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高三期末大掃除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3-7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3-14IEP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檢討會議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國八表藝成果發表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國中第三次課發會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寄發國中會考成績單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國七</w:t>
            </w: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HPV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疫苗衛教宣導講座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最後作品呈現</w:t>
            </w: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ˋ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端午節放假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直升撕榜及報到作業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國九適性入學志願選填家長說明會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期末特教推行委員會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國九期末大掃除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國九離校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國八輔導課結束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國七八德行審查會議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臺北市優先免試入學放榜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26-27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全校期末大掃除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休業式、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shd w:val="clear" w:color="auto" w:fill="ffffff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寒假開始</w:t>
            </w:r>
          </w:p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76" w:lineRule="auto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  <w:p>
            <w:pPr>
              <w:pStyle w:val="內文 A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暑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暑二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國九免試入學報到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國七新生智力測驗</w:t>
            </w:r>
          </w:p>
        </w:tc>
      </w:tr>
    </w:tbl>
    <w:p>
      <w:pPr>
        <w:pStyle w:val="內文 A"/>
        <w:jc w:val="center"/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4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88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2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T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