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標楷體" w:hAnsi="標楷體"/>
          <w:sz w:val="36"/>
          <w:szCs w:val="36"/>
          <w:rtl w:val="0"/>
          <w:lang w:val="en-US"/>
        </w:rPr>
        <w:t>106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學年度第一學期</w:t>
      </w:r>
    </w:p>
    <w:p>
      <w:pPr>
        <w:pStyle w:val="問候"/>
        <w:jc w:val="center"/>
        <w:rPr>
          <w:sz w:val="36"/>
          <w:szCs w:val="36"/>
        </w:rPr>
      </w:pPr>
      <w:r>
        <w:rPr>
          <w:rFonts w:eastAsia="標楷體" w:hint="eastAsia"/>
          <w:sz w:val="36"/>
          <w:szCs w:val="36"/>
          <w:rtl w:val="0"/>
          <w:lang w:val="zh-TW" w:eastAsia="zh-TW"/>
        </w:rPr>
        <w:t>國中部</w:t>
      </w:r>
      <w:r>
        <w:rPr>
          <w:rFonts w:ascii="標楷體" w:hAnsi="標楷體"/>
          <w:sz w:val="36"/>
          <w:szCs w:val="36"/>
          <w:rtl w:val="0"/>
          <w:lang w:val="en-US"/>
        </w:rPr>
        <w:t xml:space="preserve"> </w:t>
      </w:r>
      <w:r>
        <w:rPr>
          <w:rFonts w:eastAsia="標楷體" w:hint="eastAsia"/>
          <w:sz w:val="36"/>
          <w:szCs w:val="36"/>
          <w:u w:val="single"/>
          <w:rtl w:val="0"/>
          <w:lang w:val="zh-TW" w:eastAsia="zh-TW"/>
        </w:rPr>
        <w:t>音樂</w:t>
      </w:r>
      <w:r>
        <w:rPr>
          <w:rFonts w:eastAsia="標楷體" w:hint="eastAsia"/>
          <w:sz w:val="36"/>
          <w:szCs w:val="36"/>
          <w:u w:val="single"/>
          <w:rtl w:val="0"/>
          <w:lang w:val="zh-TW" w:eastAsia="zh-TW"/>
        </w:rPr>
        <w:t>科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教學活動計畫書</w:t>
      </w: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fbdccd"/>
        <w:tblLayout w:type="fixed"/>
      </w:tblPr>
      <w:tblGrid>
        <w:gridCol w:w="2367"/>
        <w:gridCol w:w="2834"/>
        <w:gridCol w:w="1560"/>
        <w:gridCol w:w="3641"/>
      </w:tblGrid>
      <w:tr>
        <w:tblPrEx>
          <w:shd w:val="clear" w:color="auto" w:fill="fbdccd"/>
        </w:tblPrEx>
        <w:trPr>
          <w:trHeight w:val="577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eastAsia="標楷體" w:hint="eastAsia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902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904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905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906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任課老師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董璘</w:t>
            </w:r>
          </w:p>
        </w:tc>
      </w:tr>
      <w:tr>
        <w:tblPrEx>
          <w:shd w:val="clear" w:color="auto" w:fill="fbdccd"/>
        </w:tblPrEx>
        <w:trPr>
          <w:trHeight w:val="1360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20" w:lineRule="atLeast"/>
              <w:jc w:val="both"/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5"/>
              <w:spacing w:line="2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引導並鼓勵對音樂的喜愛。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培養欣賞音樂的能力與習慣。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cs="Cambria" w:hAnsi="標楷體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ascii="Cambria" w:cs="Cambria" w:hAnsi="Cambria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發展演唱與演奏之技能</w:t>
            </w:r>
            <w:r>
              <w:rPr>
                <w:rFonts w:ascii="Cambria" w:cs="Cambria" w:hAnsi="Cambria" w:eastAsia="Cambria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4.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啟發對音樂創作之興趣。</w:t>
            </w:r>
          </w:p>
          <w:p>
            <w:pPr>
              <w:pStyle w:val="Heading 5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cs="Cambria" w:hAnsi="Cambria" w:eastAsia="Cambr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5.</w:t>
            </w:r>
            <w:r>
              <w:rPr>
                <w:rFonts w:ascii="新細明體" w:cs="新細明體" w:hAnsi="新細明體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學習使用科技技術認識音樂。</w:t>
            </w:r>
          </w:p>
        </w:tc>
      </w:tr>
      <w:tr>
        <w:tblPrEx>
          <w:shd w:val="clear" w:color="auto" w:fill="fbdccd"/>
        </w:tblPrEx>
        <w:trPr>
          <w:trHeight w:val="506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育成出版社之藝術與人文課本</w:t>
            </w:r>
          </w:p>
        </w:tc>
      </w:tr>
      <w:tr>
        <w:tblPrEx>
          <w:shd w:val="clear" w:color="auto" w:fill="fbdccd"/>
        </w:tblPrEx>
        <w:trPr>
          <w:trHeight w:val="495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</w:tr>
      <w:tr>
        <w:tblPrEx>
          <w:shd w:val="clear" w:color="auto" w:fill="fbdccd"/>
        </w:tblPrEx>
        <w:trPr>
          <w:trHeight w:val="514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標楷體" w:cs="標楷體" w:hAnsi="標楷體" w:eastAsia="標楷體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四、平時成績</w:t>
            </w:r>
          </w:p>
          <w:p>
            <w:pPr>
              <w:pStyle w:val="內文 A"/>
              <w:bidi w:val="0"/>
              <w:spacing w:line="20" w:lineRule="atLeast"/>
              <w:ind w:left="0" w:right="0" w:firstLine="480"/>
              <w:jc w:val="both"/>
              <w:rPr>
                <w:rtl w:val="0"/>
              </w:rPr>
            </w:pPr>
            <w:r>
              <w:rPr>
                <w:rFonts w:eastAsia="標楷體" w:hint="eastAsia"/>
                <w:rtl w:val="0"/>
                <w:lang w:val="zh-TW" w:eastAsia="zh-TW"/>
              </w:rPr>
              <w:t>評量方法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直笛、鐵琴、唱歌）創作、紙筆測驗</w:t>
            </w:r>
          </w:p>
        </w:tc>
      </w:tr>
      <w:tr>
        <w:tblPrEx>
          <w:shd w:val="clear" w:color="auto" w:fill="fbdccd"/>
        </w:tblPrEx>
        <w:trPr>
          <w:trHeight w:val="1695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五、</w:t>
            </w:r>
            <w:r>
              <w:rPr>
                <w:rFonts w:eastAsia="標楷體" w:hint="eastAsia"/>
                <w:u w:color="ff0000"/>
                <w:rtl w:val="0"/>
                <w:lang w:val="zh-TW" w:eastAsia="zh-TW"/>
              </w:rPr>
              <w:t>學期</w:t>
            </w:r>
            <w:r>
              <w:rPr>
                <w:rFonts w:eastAsia="標楷體" w:hint="eastAsia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(50%):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包含樂器演奏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直笛、鐵琴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筆試與創作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(30%):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學習態度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上課表現及欣賞能力。</w:t>
            </w:r>
          </w:p>
        </w:tc>
      </w:tr>
      <w:tr>
        <w:tblPrEx>
          <w:shd w:val="clear" w:color="auto" w:fill="fbdccd"/>
        </w:tblPrEx>
        <w:trPr>
          <w:trHeight w:val="1020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擴大至瞭解，欣賞，乃至於表演各類型的音樂創作。</w:t>
            </w:r>
          </w:p>
        </w:tc>
      </w:tr>
      <w:tr>
        <w:tblPrEx>
          <w:shd w:val="clear" w:color="auto" w:fill="fbdccd"/>
        </w:tblPrEx>
        <w:trPr>
          <w:trHeight w:val="574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七、擬請家長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lang w:val="en-US"/>
              </w:rPr>
              <w:br w:type="textWrapping"/>
            </w:r>
            <w:r>
              <w:rPr>
                <w:rFonts w:eastAsia="標楷體" w:hint="eastAsia"/>
                <w:rtl w:val="0"/>
                <w:lang w:val="zh-TW" w:eastAsia="zh-TW"/>
              </w:rPr>
              <w:t xml:space="preserve">    協助事項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  <w:tr>
        <w:tblPrEx>
          <w:shd w:val="clear" w:color="auto" w:fill="fbdccd"/>
        </w:tblPrEx>
        <w:trPr>
          <w:trHeight w:val="445" w:hRule="atLeast"/>
        </w:trPr>
        <w:tc>
          <w:tcPr>
            <w:tcW w:type="dxa" w:w="2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</w:pPr>
            <w:r>
              <w:rPr>
                <w:rFonts w:eastAsia="標楷體" w:hint="eastAsia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80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25334017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分機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374</w:t>
            </w:r>
          </w:p>
        </w:tc>
      </w:tr>
    </w:tbl>
    <w:p>
      <w:pPr>
        <w:pStyle w:val="問候"/>
        <w:jc w:val="center"/>
        <w:rPr>
          <w:sz w:val="36"/>
          <w:szCs w:val="36"/>
        </w:rPr>
      </w:pPr>
    </w:p>
    <w:p>
      <w:pPr>
        <w:pStyle w:val="內文 A"/>
        <w:jc w:val="center"/>
        <w:rPr>
          <w:b w:val="1"/>
          <w:bCs w:val="1"/>
          <w:sz w:val="32"/>
          <w:szCs w:val="32"/>
          <w:lang w:val="zh-TW" w:eastAsia="zh-TW"/>
        </w:rPr>
      </w:pPr>
      <w:r>
        <w:rPr>
          <w:rFonts w:eastAsia="標楷體" w:hint="eastAsia"/>
          <w:sz w:val="32"/>
          <w:szCs w:val="32"/>
          <w:rtl w:val="0"/>
          <w:lang w:val="zh-TW" w:eastAsia="zh-TW"/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>
        <w:tblPrEx>
          <w:shd w:val="clear" w:color="auto" w:fill="ced7e7"/>
        </w:tblPrEx>
        <w:trPr>
          <w:trHeight w:val="625" w:hRule="atLeast"/>
        </w:trPr>
        <w:tc>
          <w:tcPr>
            <w:tcW w:type="dxa" w:w="6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議題</w:t>
            </w:r>
          </w:p>
        </w:tc>
        <w:tc>
          <w:tcPr>
            <w:tcW w:type="dxa" w:w="9782"/>
            <w:gridSpan w:val="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品德教育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2.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環境教育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3.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法治教育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4.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永續發展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5.</w:t>
            </w:r>
            <w:r>
              <w:rPr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海洋教育　　　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6.</w:t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人權教育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7.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生命教育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8.</w:t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多元文化教育</w:t>
            </w:r>
            <w:r>
              <w:rPr>
                <w:sz w:val="18"/>
                <w:szCs w:val="18"/>
              </w:rPr>
              <w:fldChar w:fldCharType="end" w:fldLock="0"/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9.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性別平等教育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10.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消費者保護教育　　　　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11.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同志教育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12.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家庭教育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13.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家庭暴力及性侵性騷教育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14.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新移民多元文化教育　　　　　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15.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生涯發展教育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 xml:space="preserve">   16.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vertAlign w:val="baseline"/>
                <w:rtl w:val="0"/>
                <w:lang w:val="en-US"/>
              </w:rPr>
              <w:t>)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en-US"/>
              </w:rPr>
              <w:t xml:space="preserve">  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en-US"/>
              </w:rPr>
              <w:t>…</w:t>
            </w: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en-US"/>
              </w:rPr>
              <w:t>.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single" w:color="000000"/>
                <w:vertAlign w:val="baselin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六</w:t>
            </w:r>
          </w:p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融入</w:t>
            </w:r>
          </w:p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融入</w:t>
            </w:r>
          </w:p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3281"/>
            <w:gridSpan w:val="1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41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3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八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暑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3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6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right="212"/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備課週</w:t>
            </w:r>
          </w:p>
        </w:tc>
      </w:tr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文鼎顏楷" w:cs="文鼎顏楷" w:hAnsi="文鼎顏楷"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課程說明與分組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開學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九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ascii="文鼎顏楷" w:cs="文鼎顏楷" w:hAnsi="文鼎顏楷"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341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跟著音樂去旅行第一站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巴黎的異國印象</w:t>
            </w:r>
          </w:p>
        </w:tc>
        <w:tc>
          <w:tcPr>
            <w:tcW w:type="dxa" w:w="6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國中輔導課開始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5-6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國九第一次複習考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認識作曲家德布西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教學大綱及班級經營上傳截止日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欣賞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牧神的午後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國高中學校日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欣賞德布西的鋼琴作品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補行上班上課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(16:00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放學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認識作曲家拉威爾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中秋節</w:t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欣賞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波雷洛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並練習音樂中的固定節奏模式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國慶日調整放假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國慶日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11-12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樂理：和弦介紹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中音直笛練習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節奏創作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中音直笛練習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波雷洛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合奏練習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一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354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週年校慶預演</w:t>
            </w:r>
            <w:r>
              <w:rPr>
                <w:rStyle w:val="無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lang w:val="en-US"/>
              </w:rPr>
              <w:br w:type="textWrapping"/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454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週年校慶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波雷洛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合奏練習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二</w:t>
            </w: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)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校慶補假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跟著音樂去旅行第二站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德國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認識卡爾奧福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欣賞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布蘭詩歌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跟著音樂去旅行第三站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俄國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認識斯特拉汶斯基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5-6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第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次期中考</w:t>
            </w:r>
          </w:p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唱歌測驗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8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舞曲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二部直笛合奏練習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21-22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國九第二次複習考</w:t>
            </w:r>
          </w:p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直笛測驗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3" w:hRule="atLeast"/>
        </w:trPr>
        <w:tc>
          <w:tcPr>
            <w:tcW w:type="dxa" w:w="480"/>
            <w:vMerge w:val="restart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107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Style w:val="無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元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認識舞劇音樂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火鳥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”“</w:t>
            </w: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春之祭</w:t>
            </w:r>
            <w:r>
              <w:rPr>
                <w:rFonts w:ascii="標楷體" w:cs="Cambria" w:hAnsi="標楷體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”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Arial Unicode MS" w:cs="Cambria" w:hAnsi="Arial Unicode MS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✓</w:t>
            </w:r>
          </w:p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標楷體" w:cs="Cambria" w:hAnsi="標楷體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開國紀念日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  <w:rPr>
                <w:rStyle w:val="無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spacing w:line="28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標楷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國七、八輔導課結束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廿一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18-19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期末考</w:t>
            </w:r>
            <w:r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r>
          </w:p>
        </w:tc>
      </w:tr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480"/>
            <w:vMerge w:val="continue"/>
            <w:tcBorders>
              <w:top w:val="single" w:color="000000" w:sz="12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eastAsia="標楷體" w:hint="eastAsia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Style w:val="無"/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</w:p>
        </w:tc>
        <w:tc>
          <w:tcPr>
            <w:tcW w:type="dxa" w:w="334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4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0" w:lineRule="atLeast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22-24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106-2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課程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24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休業式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10:10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Style w:val="無"/>
                <w:rFonts w:ascii="標楷體" w:cs="標楷體" w:hAnsi="標楷體" w:eastAsia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寒假開始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26</w:t>
            </w:r>
            <w:r>
              <w:rPr>
                <w:rStyle w:val="無"/>
                <w:rFonts w:ascii="新細明體" w:cs="新細明體" w:hAnsi="新細明體" w:eastAsia="新細明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rStyle w:val="無"/>
                <w:rFonts w:ascii="標楷體" w:hAnsi="標楷體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27</w:t>
            </w:r>
            <w:r>
              <w:rPr>
                <w:rStyle w:val="無"/>
                <w:rFonts w:eastAsia="標楷體" w:hint="eastAsi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zh-TW" w:eastAsia="zh-TW"/>
              </w:rPr>
              <w:t>大學學測</w:t>
            </w:r>
          </w:p>
        </w:tc>
      </w:tr>
    </w:tbl>
    <w:p>
      <w:pPr>
        <w:pStyle w:val="內文 A"/>
        <w:jc w:val="center"/>
        <w:rPr>
          <w:rStyle w:val="無"/>
          <w:b w:val="1"/>
          <w:bCs w:val="1"/>
          <w:sz w:val="32"/>
          <w:szCs w:val="32"/>
          <w:lang w:val="zh-TW" w:eastAsia="zh-TW"/>
        </w:rPr>
      </w:pPr>
    </w:p>
    <w:p>
      <w:pPr>
        <w:pStyle w:val="內文 A"/>
        <w:spacing w:line="300" w:lineRule="exact"/>
      </w:pPr>
      <w:r/>
    </w:p>
    <w:sectPr>
      <w:headerReference w:type="default" r:id="rId4"/>
      <w:footerReference w:type="default" r:id="rId5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新細明體">
    <w:charset w:val="00"/>
    <w:family w:val="roman"/>
    <w:pitch w:val="default"/>
  </w:font>
  <w:font w:name="微軟正黑體">
    <w:charset w:val="00"/>
    <w:family w:val="roman"/>
    <w:pitch w:val="default"/>
  </w:font>
  <w:font w:name="文鼎顏楷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Heading 5">
    <w:name w:val="Heading 5"/>
    <w:next w:val="Heading 5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rFonts w:ascii="標楷體" w:cs="標楷體" w:hAnsi="標楷體" w:eastAsia="標楷體"/>
      <w:caps w:val="0"/>
      <w:smallCaps w:val="0"/>
      <w:strike w:val="0"/>
      <w:dstrike w:val="0"/>
      <w:outline w:val="0"/>
      <w:color w:val="000000"/>
      <w:spacing w:val="0"/>
      <w:kern w:val="2"/>
      <w:position w:val="0"/>
      <w:u w:val="none" w:color="000000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