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spacing w:after="100" w:line="420" w:lineRule="exact"/>
        <w:jc w:val="center"/>
        <w:rPr>
          <w:rFonts w:ascii="Times New Roman" w:cs="Times New Roman" w:hAnsi="Times New Roman" w:eastAsia="Times New Roman"/>
          <w:b w:val="1"/>
          <w:bCs w:val="1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  <w:rtl w:val="0"/>
          <w:lang w:val="zh-TW" w:eastAsia="zh-TW"/>
        </w:rPr>
        <w:t>台北市立大直高級中學</w:t>
      </w:r>
      <w:r>
        <w:rPr>
          <w:rFonts w:ascii="Times New Roman" w:hAnsi="Times New Roman"/>
          <w:b w:val="1"/>
          <w:bCs w:val="1"/>
          <w:spacing w:val="-20"/>
          <w:sz w:val="36"/>
          <w:szCs w:val="36"/>
          <w:rtl w:val="0"/>
          <w:lang w:val="en-US"/>
        </w:rPr>
        <w:t>109</w:t>
      </w:r>
      <w:r>
        <w:rPr>
          <w:rFonts w:eastAsia="標楷體" w:hint="eastAsia"/>
          <w:spacing w:val="-20"/>
          <w:sz w:val="36"/>
          <w:szCs w:val="36"/>
          <w:rtl w:val="0"/>
          <w:lang w:val="zh-TW" w:eastAsia="zh-TW"/>
        </w:rPr>
        <w:t>學年度第</w:t>
      </w:r>
      <w:r>
        <w:rPr>
          <w:rFonts w:ascii="Times New Roman" w:hAnsi="Times New Roman"/>
          <w:b w:val="1"/>
          <w:bCs w:val="1"/>
          <w:spacing w:val="-20"/>
          <w:sz w:val="36"/>
          <w:szCs w:val="36"/>
          <w:rtl w:val="0"/>
          <w:lang w:val="en-US"/>
        </w:rPr>
        <w:t>2</w:t>
      </w:r>
      <w:r>
        <w:rPr>
          <w:rFonts w:eastAsia="標楷體" w:hint="eastAsia"/>
          <w:spacing w:val="-20"/>
          <w:sz w:val="36"/>
          <w:szCs w:val="36"/>
          <w:rtl w:val="0"/>
          <w:lang w:val="zh-TW" w:eastAsia="zh-TW"/>
        </w:rPr>
        <w:t>學期「學校日」活動</w:t>
      </w:r>
    </w:p>
    <w:p>
      <w:pPr>
        <w:pStyle w:val="內文 A"/>
        <w:spacing w:after="360" w:line="420" w:lineRule="exac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 xml:space="preserve">                   班級經營計畫書</w:t>
      </w:r>
      <w:r>
        <w:rPr>
          <w:rFonts w:ascii="Times New Roman" w:hAnsi="Times New Roman"/>
          <w:rtl w:val="0"/>
          <w:lang w:val="en-US"/>
        </w:rPr>
        <w:t xml:space="preserve">                   </w:t>
      </w:r>
    </w:p>
    <w:tbl>
      <w:tblPr>
        <w:tblW w:w="902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8"/>
        <w:gridCol w:w="2520"/>
        <w:gridCol w:w="720"/>
        <w:gridCol w:w="1800"/>
        <w:gridCol w:w="720"/>
        <w:gridCol w:w="1440"/>
      </w:tblGrid>
      <w:tr>
        <w:tblPrEx>
          <w:shd w:val="clear" w:color="auto" w:fill="ced7e7"/>
        </w:tblPrEx>
        <w:trPr>
          <w:trHeight w:val="181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班    級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高中 二年五班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  <w:rPr>
                <w:rFonts w:ascii="標楷體" w:cs="標楷體" w:hAnsi="標楷體" w:eastAsia="標楷體"/>
                <w:sz w:val="28"/>
                <w:szCs w:val="28"/>
                <w:shd w:val="nil" w:color="auto" w:fill="auto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導師</w:t>
            </w:r>
          </w:p>
          <w:p>
            <w:pPr>
              <w:pStyle w:val="內文 A"/>
              <w:bidi w:val="0"/>
              <w:spacing w:line="4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吳雅萍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  <w:rPr>
                <w:rFonts w:ascii="標楷體" w:cs="標楷體" w:hAnsi="標楷體" w:eastAsia="標楷體"/>
                <w:sz w:val="28"/>
                <w:szCs w:val="28"/>
                <w:shd w:val="nil" w:color="auto" w:fill="auto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擔任</w:t>
            </w:r>
          </w:p>
          <w:p>
            <w:pPr>
              <w:pStyle w:val="內文 A"/>
              <w:bidi w:val="0"/>
              <w:spacing w:line="4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科目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國文</w:t>
            </w:r>
          </w:p>
        </w:tc>
      </w:tr>
      <w:tr>
        <w:tblPrEx>
          <w:shd w:val="clear" w:color="auto" w:fill="ced7e7"/>
        </w:tblPrEx>
        <w:trPr>
          <w:trHeight w:val="89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輔導管教要點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請參照本校所發『教師輔導與管教學生實施要點』摘要說明</w:t>
            </w:r>
          </w:p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申訴管道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本校訂有申訴辦法，業務由輔導處主辦。</w:t>
            </w:r>
          </w:p>
        </w:tc>
      </w:tr>
      <w:tr>
        <w:tblPrEx>
          <w:shd w:val="clear" w:color="auto" w:fill="ced7e7"/>
        </w:tblPrEx>
        <w:trPr>
          <w:trHeight w:val="135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生活常規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包括學生的服裝儀容、秩序、交通、及請假規定，依學務處生輔組規定。另外，班上自行訂有班規，於班會時宣佈。</w:t>
            </w:r>
          </w:p>
        </w:tc>
      </w:tr>
      <w:tr>
        <w:tblPrEx>
          <w:shd w:val="clear" w:color="auto" w:fill="ced7e7"/>
        </w:tblPrEx>
        <w:trPr>
          <w:trHeight w:val="89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公共服務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由訓育組主辦，每生入學時分發公共服務護照一本，相關規定印在護照上，請查閱。</w:t>
            </w:r>
          </w:p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重要活動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請參照校務行事曆說明。</w:t>
            </w:r>
          </w:p>
        </w:tc>
      </w:tr>
      <w:tr>
        <w:tblPrEx>
          <w:shd w:val="clear" w:color="auto" w:fill="ced7e7"/>
        </w:tblPrEx>
        <w:trPr>
          <w:trHeight w:val="641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個人帶班理念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1"/>
              </w:numPr>
              <w:spacing w:line="460" w:lineRule="exact"/>
              <w:jc w:val="both"/>
              <w:rPr>
                <w:rFonts w:eastAsia="標楷體" w:hint="eastAsia"/>
                <w:sz w:val="28"/>
                <w:szCs w:val="28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尊重個別差異，以愛心、耐心關懷每一個孩子；傾聽他們的問題，並引導他們學習獨立，及如何自己解決問題。陪伴並協助孩子勇於面對挫折，並在心理、資源上給予支持協助。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在課業上培養孩子主動積極的求知態度，讓他們能廣泛學習，具備蒐集資料，並加以整理分析的能力。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注重生活常規，在班級活動中能藉由與同儕良好的互動，學習人際溝通，互相勉勵，彼此提攜；進而培養責任心，追求團體榮譽。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營造班級良好寧靜的讀書環境，使孩子在學習上獲得良好的協助及發揮，養成長久、良好的學習習慣。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輔導孩子在課業、社團、人際等方面均衡發展，游刃有餘，並引導他們找尋興趣及未來人生方向，確立目標。 </w:t>
            </w:r>
          </w:p>
        </w:tc>
      </w:tr>
      <w:tr>
        <w:tblPrEx>
          <w:shd w:val="clear" w:color="auto" w:fill="ced7e7"/>
        </w:tblPrEx>
        <w:trPr>
          <w:trHeight w:val="595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擬請家長配合協助事項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2"/>
              </w:numPr>
              <w:spacing w:line="460" w:lineRule="exact"/>
              <w:jc w:val="both"/>
              <w:rPr>
                <w:rFonts w:eastAsia="標楷體" w:hint="eastAsia"/>
                <w:sz w:val="28"/>
                <w:szCs w:val="28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養成孩子正常且良好的作息，有充足的飲食及睡眠，不遲到、不隨意請假，從而養成對自己及班級負責的態度。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維持良好且密切的親子溝通管道，清楚孩子的交友狀況，至少有三位孩子好友的聯絡方式，且適度管制孩子零用錢及貴重物品的使用。並且協助控制孩子上網時間，以免沉迷網路。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給孩子多些陪伴、多些鼓勵，適度安排家庭共同活動，除紓解課業壓力，也增加孩子體驗生活的經驗，製造共同回憶。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關心孩子在校的生活狀況，在家複習課業狀況，隨時和導師保持密切聯繫，親師一同關心孩子，並給予最大的心理支持。</w:t>
            </w:r>
          </w:p>
        </w:tc>
      </w:tr>
      <w:tr>
        <w:tblPrEx>
          <w:shd w:val="clear" w:color="auto" w:fill="ced7e7"/>
        </w:tblPrEx>
        <w:trPr>
          <w:trHeight w:val="135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和導師的聯絡時間及方式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學校電話：（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02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）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2533-4017 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轉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214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（請於上課時間來電，若不在辦公室請留話）</w:t>
            </w:r>
          </w:p>
        </w:tc>
      </w:tr>
    </w:tbl>
    <w:p>
      <w:pPr>
        <w:pStyle w:val="內文 A"/>
        <w:spacing w:after="360"/>
        <w:ind w:left="108" w:hanging="108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內文 A"/>
        <w:spacing w:after="360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標楷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