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109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 xml:space="preserve">表演藝術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93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0"/>
        <w:gridCol w:w="2032"/>
        <w:gridCol w:w="2291"/>
        <w:gridCol w:w="2493"/>
      </w:tblGrid>
      <w:tr>
        <w:tblPrEx>
          <w:shd w:val="clear" w:color="auto" w:fill="ced7e7"/>
        </w:tblPrEx>
        <w:trPr>
          <w:trHeight w:val="66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</w:tabs>
            </w:pPr>
            <w:r>
              <w:rPr>
                <w:rFonts w:ascii="Helvetica" w:hAnsi="Helvetica"/>
                <w:rtl w:val="0"/>
              </w:rPr>
              <w:t>801-809</w:t>
            </w:r>
          </w:p>
        </w:tc>
        <w:tc>
          <w:tcPr>
            <w:tcW w:type="dxa" w:w="22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任課老師姓名</w:t>
            </w:r>
          </w:p>
        </w:tc>
        <w:tc>
          <w:tcPr>
            <w:tcW w:type="dxa" w:w="2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Helvetica" w:hint="eastAsia"/>
                <w:rtl w:val="0"/>
              </w:rPr>
              <w:t>張幼玫</w:t>
            </w:r>
          </w:p>
        </w:tc>
      </w:tr>
      <w:tr>
        <w:tblPrEx>
          <w:shd w:val="clear" w:color="auto" w:fill="ced7e7"/>
        </w:tblPrEx>
        <w:trPr>
          <w:trHeight w:val="242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1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Helvetica" w:cs="Helvetica" w:hAnsi="Helvetica" w:eastAsia="Helvetica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表演藝術課程，希望能透過表演藝術學習，達到以下目標：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認識自己，包括自己的強項與弱項，面對問題時的解決態度與能力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增進人我互動，包括同儕日常互動與工作差異，學習尊重異者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認識表演藝術相關藝術家與作品，增進生活美感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以表演藝術為認識生各種議題的跳板。</w:t>
            </w:r>
          </w:p>
        </w:tc>
      </w:tr>
      <w:tr>
        <w:tblPrEx>
          <w:shd w:val="clear" w:color="auto" w:fill="ced7e7"/>
        </w:tblPrEx>
        <w:trPr>
          <w:trHeight w:val="34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自編為主</w:t>
            </w:r>
          </w:p>
        </w:tc>
      </w:tr>
      <w:tr>
        <w:tblPrEx>
          <w:shd w:val="clear" w:color="auto" w:fill="ced7e7"/>
        </w:tblPrEx>
        <w:trPr>
          <w:trHeight w:val="34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eastAsia="Helvetica" w:hint="eastAsia"/>
                <w:rtl w:val="0"/>
              </w:rPr>
              <w:t>表演藝術記錄本與相關學習檔案</w:t>
            </w:r>
          </w:p>
        </w:tc>
      </w:tr>
      <w:tr>
        <w:tblPrEx>
          <w:shd w:val="clear" w:color="auto" w:fill="ced7e7"/>
        </w:tblPrEx>
        <w:trPr>
          <w:trHeight w:val="66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課堂筆記與學習檔案、實作練習</w:t>
            </w:r>
          </w:p>
        </w:tc>
      </w:tr>
      <w:tr>
        <w:tblPrEx>
          <w:shd w:val="clear" w:color="auto" w:fill="ced7e7"/>
        </w:tblPrEx>
        <w:trPr>
          <w:trHeight w:val="932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五、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ff0000"/>
                <w:u w:color="ff0000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學期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3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課堂筆記與學習檔案</w:t>
            </w:r>
            <w:r>
              <w:rPr>
                <w:rFonts w:ascii="Helvetica" w:hAnsi="Helvetica"/>
                <w:rtl w:val="0"/>
                <w:lang w:val="en-US"/>
              </w:rPr>
              <w:t>20%</w:t>
            </w:r>
          </w:p>
          <w:p>
            <w:pPr>
              <w:pStyle w:val="內文"/>
              <w:numPr>
                <w:ilvl w:val="0"/>
                <w:numId w:val="3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紙本作業</w:t>
            </w:r>
            <w:r>
              <w:rPr>
                <w:rFonts w:ascii="Helvetica" w:hAnsi="Helvetica"/>
                <w:rtl w:val="0"/>
                <w:lang w:val="en-US"/>
              </w:rPr>
              <w:t>20%</w:t>
            </w:r>
          </w:p>
          <w:p>
            <w:pPr>
              <w:pStyle w:val="內文"/>
              <w:numPr>
                <w:ilvl w:val="0"/>
                <w:numId w:val="3"/>
              </w:numPr>
              <w:rPr>
                <w:rFonts w:eastAsia="Helvetica" w:hint="eastAsia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課堂實作（個人、小組練習與呈現</w:t>
            </w:r>
            <w:r>
              <w:rPr>
                <w:rFonts w:ascii="Helvetica" w:hAnsi="Helvetica"/>
                <w:rtl w:val="0"/>
                <w:lang w:val="en-US"/>
              </w:rPr>
              <w:t>60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％）</w:t>
            </w:r>
          </w:p>
        </w:tc>
      </w:tr>
      <w:tr>
        <w:tblPrEx>
          <w:shd w:val="clear" w:color="auto" w:fill="ced7e7"/>
        </w:tblPrEx>
        <w:trPr>
          <w:trHeight w:val="98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表演藝術不只是娛樂，也是檢視自我、促進思考、提升生活品質的媒介，他背後所包含的觀察想像、相互理解與尊重、提問與應答，都是重要的生活能力。</w:t>
            </w:r>
          </w:p>
        </w:tc>
      </w:tr>
      <w:tr>
        <w:tblPrEx>
          <w:shd w:val="clear" w:color="auto" w:fill="ced7e7"/>
        </w:tblPrEx>
        <w:trPr>
          <w:trHeight w:val="926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理解孩子學習過程中可能需要付出的時間與心力，遇挫時包容鼓勵並支持。行有餘力，帶他們觀賞演出</w:t>
            </w:r>
            <w:r>
              <w:rPr>
                <w:rFonts w:ascii="Helvetica" w:hAnsi="Helvetica" w:hint="default"/>
                <w:kern w:val="2"/>
                <w:rtl w:val="0"/>
                <w:lang w:val="zh-TW" w:eastAsia="zh-TW"/>
              </w:rPr>
              <w:t>——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進入表演場所尤佳，在家觀賞影視也無妨。</w:t>
            </w:r>
          </w:p>
        </w:tc>
      </w:tr>
      <w:tr>
        <w:tblPrEx>
          <w:shd w:val="clear" w:color="auto" w:fill="ced7e7"/>
        </w:tblPrEx>
        <w:trPr>
          <w:trHeight w:val="340" w:hRule="exact"/>
        </w:trPr>
        <w:tc>
          <w:tcPr>
            <w:tcW w:type="dxa" w:w="25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681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Hyperlink.0"/>
                <w:rFonts w:ascii="Helvetica" w:cs="Helvetica" w:hAnsi="Helvetica" w:eastAsia="Helvetica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</w:rPr>
              <w:instrText xml:space="preserve"> HYPERLINK "mailto:amegocym@yahoo.com.tw"</w:instrText>
            </w:r>
            <w:r>
              <w:rPr>
                <w:rStyle w:val="Hyperlink.0"/>
                <w:rFonts w:ascii="Helvetica" w:cs="Helvetica" w:hAnsi="Helvetica" w:eastAsia="Helvetica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rtl w:val="0"/>
                <w:lang w:val="en-US"/>
              </w:rPr>
              <w:t>amegocym@yahoo.com.tw</w:t>
            </w:r>
            <w:r>
              <w:rPr>
                <w:rFonts w:ascii="Helvetica" w:cs="Helvetica" w:hAnsi="Helvetica" w:eastAsia="Helvetica"/>
              </w:rPr>
              <w:fldChar w:fldCharType="end" w:fldLock="0"/>
            </w:r>
            <w:r>
              <w:rPr>
                <w:rFonts w:ascii="Helvetica" w:hAnsi="Helvetica"/>
                <w:rtl w:val="0"/>
                <w:lang w:val="en-US"/>
              </w:rPr>
              <w:t>/0937365438(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en-US"/>
              </w:rPr>
              <w:t>手機與</w:t>
            </w:r>
            <w:r>
              <w:rPr>
                <w:rFonts w:ascii="Helvetica" w:hAnsi="Helvetica"/>
                <w:rtl w:val="0"/>
                <w:lang w:val="en-US"/>
              </w:rPr>
              <w:t>Line</w:t>
            </w:r>
            <w:r>
              <w:rPr>
                <w:rFonts w:ascii="Helvetica" w:hAnsi="Helvetica"/>
                <w:rtl w:val="0"/>
                <w:lang w:val="zh-TW" w:eastAsia="zh-TW"/>
              </w:rPr>
              <w:t xml:space="preserve"> </w:t>
            </w:r>
            <w:r>
              <w:rPr>
                <w:rFonts w:ascii="Helvetica" w:hAnsi="Helvetica"/>
                <w:rtl w:val="0"/>
                <w:lang w:val="en-US"/>
              </w:rPr>
              <w:t>ID)</w:t>
            </w:r>
          </w:p>
        </w:tc>
      </w:tr>
    </w:tbl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p>
      <w:pPr>
        <w:pStyle w:val="內文 A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p>
      <w:pPr>
        <w:pStyle w:val="內文 A"/>
        <w:spacing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(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請特別確認各單元是否有議題融入，比如是否有</w:t>
      </w:r>
      <w:r>
        <w:rPr>
          <w:rFonts w:ascii="微軟正黑體" w:cs="微軟正黑體" w:hAnsi="微軟正黑體" w:eastAsia="微軟正黑體"/>
          <w:b w:val="1"/>
          <w:bCs w:val="1"/>
          <w:u w:val="double"/>
          <w:shd w:val="clear" w:color="auto" w:fill="ffff00"/>
          <w:rtl w:val="0"/>
          <w:lang w:val="zh-TW" w:eastAsia="zh-TW"/>
        </w:rPr>
        <w:t>性別平等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相關單元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68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47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人權教育</w:t>
            </w:r>
            <w:r>
              <w:rPr/>
              <w:fldChar w:fldCharType="end" w:fldLock="0"/>
            </w:r>
          </w:p>
        </w:tc>
        <w:tc>
          <w:tcPr>
            <w:tcW w:type="dxa" w:w="1261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clear" w:color="auto" w:fill="ffff00"/>
                <w:rtl w:val="0"/>
                <w:lang w:val="en-US"/>
              </w:rPr>
              <w:t>9.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clear" w:color="auto" w:fill="ffff00"/>
                <w:rtl w:val="0"/>
                <w:lang w:val="zh-TW" w:eastAsia="zh-TW"/>
              </w:rPr>
              <w:t>勞動教育</w:t>
            </w:r>
          </w:p>
        </w:tc>
        <w:tc>
          <w:tcPr>
            <w:tcW w:type="dxa" w:w="1771"/>
            <w:gridSpan w:val="2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多元文化教育</w:t>
            </w:r>
            <w:r>
              <w:rPr/>
              <w:fldChar w:fldCharType="end" w:fldLock="0"/>
            </w:r>
          </w:p>
        </w:tc>
        <w:tc>
          <w:tcPr>
            <w:tcW w:type="dxa" w:w="1474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clear" w:color="auto" w:fill="ffff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ffffff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14.</w:t>
            </w:r>
            <w:r>
              <w:rPr>
                <w:rStyle w:val="Hyperlink.1"/>
                <w:rFonts w:ascii="Helvetica Neue" w:hAnsi="Helvetica Neue" w:eastAsia="Arial Unicode MS"/>
                <w:rtl w:val="0"/>
              </w:rPr>
              <w:t xml:space="preserve"> 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15.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single" w:color="ffffff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16.</w:t>
            </w:r>
            <w:r>
              <w:rPr>
                <w:rStyle w:val="Hyperlink.1"/>
                <w:rFonts w:ascii="Helvetica Neue" w:hAnsi="Helvetica Neue" w:eastAsia="Arial Unicode MS"/>
                <w:rtl w:val="0"/>
              </w:rPr>
              <w:t xml:space="preserve"> 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其他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請說明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Helvetica Neue" w:hAnsi="Helvetica Neue" w:eastAsia="Arial Unicode MS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u w:val="single"/>
                <w:shd w:val="nil" w:color="auto" w:fill="auto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Helvetica Neue" w:hAnsi="Helvetica Neue" w:eastAsia="Arial Unicode MS" w:hint="default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Helvetica Neue" w:hAnsi="Helvetica Neue" w:eastAsia="Arial Unicode MS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29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週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次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資訊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融入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議題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二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寒四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8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一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團體動力與觀演關係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22-26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期初教學研究會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教學大綱與班級經營上傳截止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開學、正式上課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放學</w:t>
            </w:r>
          </w:p>
          <w:p>
            <w:pPr>
              <w:pStyle w:val="內文"/>
              <w:bidi w:val="0"/>
              <w:rPr>
                <w:rStyle w:val="無"/>
              </w:rPr>
            </w:pPr>
            <w:r>
              <w:rPr>
                <w:rStyle w:val="無"/>
                <w:rFonts w:ascii="Helvetica Neue" w:hAnsi="Helvetica Neue" w:eastAsia="Arial Unicode MS"/>
                <w:rtl w:val="0"/>
                <w:lang w:val="en-US"/>
              </w:rPr>
              <w:t>22-23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幹部訓練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國九晚自習開始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國八九輔導課開始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24-25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國九第三次複習考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25-26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國八隔宿露營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二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說故事劇場（一）：肢體造型與即興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和平紀念日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補行放假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trike w:val="0"/>
                <w:dstrike w:val="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trike w:val="0"/>
                <w:dstrike w:val="0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三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三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說故事劇場（二）：故事分元素與主旨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四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說故事劇場（三）：說書人與典型角色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國中導師會議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五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說故事劇場（四）：走位、彩排與空間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六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說故事劇場（五）：學習評量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30-31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第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次期中考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補假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4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四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七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素養課程公開授課：城市露營者・貧窮台北人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6-16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公開授課週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兒童節、民族掃墓節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補假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8-9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國九期末考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八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劇場中的覺知：道具與空間、燈光與多媒體與個人故事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12-16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九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劇場中的覺知：音效與音樂＋音樂劇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19-23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期中教學研究會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19-23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國八籃球比賽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22-23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國九第四次複習考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小組創作一：故事結構與幕後設計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國中第二次課發會</w:t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4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五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一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小組創作二：整排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ff000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國九德行審查會議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國九包高中</w:t>
            </w:r>
          </w:p>
        </w:tc>
      </w:tr>
      <w:tr>
        <w:tblPrEx>
          <w:shd w:val="clear" w:color="auto" w:fill="ced7e7"/>
        </w:tblPrEx>
        <w:trPr>
          <w:trHeight w:val="1633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十二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小組創作三：彩排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12-13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國七八第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次期中考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國九輔導課、晚自習結束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國九看考場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15:00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放學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15-16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國中教育會考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十三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小組創作四：班級內呈現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17-28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公開授課週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英語文競賽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國七跳繩比賽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國八桌球比賽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十四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學年展演彩排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24-28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期末教學研究會</w:t>
            </w:r>
            <w:r>
              <w:rPr>
                <w:rStyle w:val="無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十五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學年展演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畢業典禮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預演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畢業典禮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國八表藝成果發表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國中第三次課發會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六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十六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展演、職涯規劃一：個人獨白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國七八德行審查會議</w:t>
            </w:r>
          </w:p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7-11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作業抽查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國九離校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十七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職涯規劃二：個人獨白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端午節</w:t>
            </w:r>
            <w:r>
              <w:rPr>
                <w:rStyle w:val="無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十八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成績盤點、晤談與課程收束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國七八輔導課結束</w:t>
            </w:r>
            <w:r>
              <w:rPr>
                <w:rStyle w:val="無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4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十</w:t>
            </w:r>
          </w:p>
          <w:p>
            <w:pPr>
              <w:pStyle w:val="內文"/>
              <w:bidi w:val="0"/>
            </w:pP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九</w:t>
            </w:r>
          </w:p>
        </w:tc>
        <w:tc>
          <w:tcPr>
            <w:tcW w:type="dxa" w:w="36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eastAsia="Arial Unicode MS" w:hint="eastAsia"/>
                <w:shd w:val="nil" w:color="auto" w:fill="auto"/>
                <w:rtl w:val="0"/>
                <w:lang w:val="zh-TW" w:eastAsia="zh-TW"/>
              </w:rPr>
              <w:t>結業週</w:t>
            </w:r>
          </w:p>
        </w:tc>
        <w:tc>
          <w:tcPr>
            <w:tcW w:type="dxa" w:w="49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無"/>
                <w:rFonts w:ascii="Arial Unicode MS" w:hAnsi="Arial Unicode MS" w:hint="default"/>
                <w:kern w:val="2"/>
                <w:shd w:val="nil" w:color="auto" w:fill="auto"/>
                <w:rtl w:val="0"/>
                <w:lang w:val="en-US"/>
              </w:rPr>
              <w:t>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shd w:val="nil" w:color="auto" w:fill="auto"/>
                <w:rtl w:val="0"/>
                <w:lang w:val="en-US"/>
              </w:rPr>
              <w:t>︎</w:t>
            </w:r>
          </w:p>
        </w:tc>
        <w:tc>
          <w:tcPr>
            <w:tcW w:type="dxa" w:w="47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bidi w:val="0"/>
              <w:rPr>
                <w:rStyle w:val="無"/>
                <w:shd w:val="nil" w:color="auto" w:fill="auto"/>
              </w:rPr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30-1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國七八期末考</w:t>
            </w:r>
          </w:p>
          <w:p>
            <w:pPr>
              <w:pStyle w:val="內文"/>
              <w:bidi w:val="0"/>
            </w:pP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休業式、</w:t>
            </w:r>
            <w:r>
              <w:rPr>
                <w:rStyle w:val="無"/>
                <w:rFonts w:ascii="Helvetica Neue" w:hAnsi="Helvetica Neue" w:eastAsia="Arial Unicode MS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1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校務會議</w:t>
            </w:r>
          </w:p>
        </w:tc>
      </w:tr>
    </w:tbl>
    <w:p>
      <w:pPr>
        <w:pStyle w:val="內文 A"/>
        <w:jc w:val="center"/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</w:p>
    <w:p>
      <w:pPr>
        <w:pStyle w:val="內文 A"/>
        <w:spacing w:line="300" w:lineRule="exact"/>
      </w:pPr>
      <w:r>
        <w:rPr>
          <w:rStyle w:val="無"/>
          <w:rFonts w:ascii="微軟正黑體" w:cs="微軟正黑體" w:hAnsi="微軟正黑體" w:eastAsia="微軟正黑體"/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left" w:pos="720"/>
          <w:tab w:val="left" w:pos="1440"/>
          <w:tab w:val="left" w:pos="216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720"/>
          <w:tab w:val="left" w:pos="1440"/>
          <w:tab w:val="left" w:pos="216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</w:tabs>
        <w:ind w:left="44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</w:tabs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720"/>
          <w:tab w:val="left" w:pos="1440"/>
          <w:tab w:val="left" w:pos="2160"/>
        </w:tabs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</w:tabs>
        <w:ind w:left="188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</w:tabs>
        <w:ind w:left="23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720"/>
          <w:tab w:val="left" w:pos="1440"/>
          <w:tab w:val="left" w:pos="2160"/>
        </w:tabs>
        <w:ind w:left="28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</w:tabs>
        <w:ind w:left="332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無">
    <w:name w:val="無"/>
  </w:style>
  <w:style w:type="character" w:styleId="Hyperlink.1">
    <w:name w:val="Hyperlink.1"/>
    <w:basedOn w:val="無"/>
    <w:next w:val="Hyperlink.1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