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標楷體" w:cs="標楷體" w:hAnsi="標楷體" w:eastAsia="標楷體"/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</w:t>
      </w:r>
      <w:r>
        <w:rPr>
          <w:rFonts w:ascii="標楷體" w:hAnsi="標楷體"/>
          <w:sz w:val="36"/>
          <w:szCs w:val="36"/>
          <w:rtl w:val="0"/>
          <w:lang w:val="en-US"/>
        </w:rPr>
        <w:t>1</w:t>
      </w:r>
      <w:r>
        <w:rPr>
          <w:rFonts w:ascii="標楷體" w:hAnsi="標楷體"/>
          <w:sz w:val="36"/>
          <w:szCs w:val="36"/>
          <w:rtl w:val="0"/>
          <w:lang w:val="en-US"/>
        </w:rPr>
        <w:t>0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一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學期</w:t>
      </w:r>
    </w:p>
    <w:p>
      <w:pPr>
        <w:pStyle w:val="問候"/>
        <w:jc w:val="center"/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高中部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__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國文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_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0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ced7e7"/>
        </w:tblPrEx>
        <w:trPr>
          <w:trHeight w:val="59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tl w:val="0"/>
                <w:lang w:val="en-US"/>
              </w:rPr>
              <w:t>3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05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zh-TW" w:eastAsia="zh-TW"/>
              </w:rPr>
              <w:t>3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吳雅萍</w:t>
            </w:r>
          </w:p>
        </w:tc>
      </w:tr>
      <w:tr>
        <w:tblPrEx>
          <w:shd w:val="clear" w:color="auto" w:fill="ced7e7"/>
        </w:tblPrEx>
        <w:trPr>
          <w:trHeight w:val="1446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Times New Roman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1.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引發閱讀及欣賞文學作品的興趣，培養語言表達及分析事理的能力。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藉由文學經典作品的認識，培養面對困境與挫折的生命智慧。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具有應付學測的能力，養成自主讀書的習慣及能力。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4.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透過廣博精熟的閱讀，深化素養方向的能力。</w:t>
            </w:r>
          </w:p>
        </w:tc>
      </w:tr>
      <w:tr>
        <w:tblPrEx>
          <w:shd w:val="clear" w:color="auto" w:fill="ced7e7"/>
        </w:tblPrEx>
        <w:trPr>
          <w:trHeight w:val="225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共同用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書：龍騰版高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三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國文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文言文</w:t>
            </w:r>
            <w:r>
              <w:rPr>
                <w:rFonts w:ascii="Microsoft JhengHei" w:hAnsi="Microsoft JhengHei"/>
                <w:rtl w:val="0"/>
                <w:lang w:val="zh-TW" w:eastAsia="zh-TW"/>
              </w:rPr>
              <w:t>15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篇大講堂（翰林）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、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古今悅讀一百</w:t>
            </w:r>
            <w:r>
              <w:rPr>
                <w:rFonts w:ascii="Microsoft JhengHei" w:hAnsi="Microsoft JhengHei"/>
                <w:rtl w:val="0"/>
                <w:lang w:val="en-US"/>
              </w:rPr>
              <w:t>(</w:t>
            </w:r>
            <w:r>
              <w:rPr>
                <w:rFonts w:eastAsia="Microsoft JhengHei" w:hint="eastAsia"/>
                <w:rtl w:val="0"/>
                <w:lang w:val="zh-TW" w:eastAsia="zh-TW"/>
              </w:rPr>
              <w:t>龍騰</w:t>
            </w:r>
            <w:r>
              <w:rPr>
                <w:rFonts w:ascii="Microsoft JhengHei" w:hAnsi="Microsoft JhengHei"/>
                <w:rtl w:val="0"/>
                <w:lang w:val="en-US"/>
              </w:rPr>
              <w:t>)</w:t>
            </w:r>
          </w:p>
          <w:p>
            <w:pPr>
              <w:pStyle w:val="內文 A"/>
              <w:spacing w:line="20" w:lineRule="atLeast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</w:rPr>
            </w:pP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hd w:val="nil" w:color="auto" w:fill="auto"/>
                <w:rtl w:val="0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自由選購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：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rtl w:val="0"/>
                <w:lang w:val="zh-TW" w:eastAsia="zh-TW"/>
              </w:rPr>
              <w:t>享讀比非多（南一）、新大滿貫國文總複習（翰林）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教師自編教材</w:t>
            </w:r>
          </w:p>
        </w:tc>
      </w:tr>
      <w:tr>
        <w:tblPrEx>
          <w:shd w:val="clear" w:color="auto" w:fill="ced7e7"/>
        </w:tblPrEx>
        <w:trPr>
          <w:trHeight w:val="972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依課程內容之學習單及測驗卷練習。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隨堂測驗，包含：默書、問答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課外閱讀寫作、詩詞背誦、語文演練、線上測驗。</w:t>
            </w:r>
          </w:p>
        </w:tc>
      </w:tr>
      <w:tr>
        <w:tblPrEx>
          <w:shd w:val="clear" w:color="auto" w:fill="ced7e7"/>
        </w:tblPrEx>
        <w:trPr>
          <w:trHeight w:val="669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4"/>
              </w:numPr>
              <w:spacing w:before="100" w:line="300" w:lineRule="exact"/>
              <w:jc w:val="both"/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紙筆測驗，含：測驗卷、隨堂測驗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非紙筆測驗，含：口試、作品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資料蒐集、學習單、報告</w:t>
            </w:r>
            <w:r>
              <w:rPr>
                <w:rFonts w:ascii="Microsoft JhengHei" w:hAnsi="Microsoft JhengHei" w:hint="default"/>
                <w:shd w:val="nil" w:color="auto" w:fill="auto"/>
                <w:rtl w:val="0"/>
                <w:lang w:val="en-US"/>
              </w:rPr>
              <w:t>……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等等。</w:t>
            </w:r>
          </w:p>
        </w:tc>
      </w:tr>
      <w:tr>
        <w:tblPrEx>
          <w:shd w:val="clear" w:color="auto" w:fill="ced7e7"/>
        </w:tblPrEx>
        <w:trPr>
          <w:trHeight w:val="1409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5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包含定期紙筆測驗、指定作業、學習態度。</w:t>
            </w:r>
          </w:p>
          <w:p>
            <w:pPr>
              <w:pStyle w:val="內文 A"/>
              <w:widowControl w:val="1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成績計算方式為：兩次期中考各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、期末考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、平時成績（含作業、小考、學習態度等）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30%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按照課堂表現，酌以加分。</w:t>
            </w:r>
          </w:p>
        </w:tc>
      </w:tr>
      <w:tr>
        <w:tblPrEx>
          <w:shd w:val="clear" w:color="auto" w:fill="ced7e7"/>
        </w:tblPrEx>
        <w:trPr>
          <w:trHeight w:val="1523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6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掌握大考命題趨勢，融入日常教學及評量，令學生不依賴死記，而能運用語感及累積之能力，進行判斷。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希望培養學生閱讀習慣，更期望藉由閱讀及引導，令學生在陶冶文學素養之餘，更能從中找到安頓心神之力量。</w:t>
            </w:r>
          </w:p>
        </w:tc>
      </w:tr>
      <w:tr>
        <w:tblPrEx>
          <w:shd w:val="clear" w:color="auto" w:fill="ced7e7"/>
        </w:tblPrEx>
        <w:trPr>
          <w:trHeight w:val="2690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七、擬請家長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widowControl w:val="1"/>
              <w:numPr>
                <w:ilvl w:val="0"/>
                <w:numId w:val="7"/>
              </w:numPr>
              <w:rPr>
                <w:rFonts w:eastAsia="Microsoft JhengHei" w:hint="eastAsia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請叮囑孩子在規定時間內完成指定作業及考試之準備。</w:t>
            </w:r>
          </w:p>
          <w:p>
            <w:pPr>
              <w:pStyle w:val="內文 A"/>
              <w:widowControl w:val="1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請鼓勵並培養孩子的閱讀習慣，並筆記心得作為紀錄，關心閱讀素材及思考內容，陪伴孩子面對挑戰。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before="100" w:line="300" w:lineRule="exact"/>
              <w:ind w:right="0"/>
              <w:jc w:val="both"/>
              <w:rPr>
                <w:rFonts w:eastAsia="Microsoft JhengHei" w:hint="eastAsia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若孩子有意願參與各方藝文、展覽欣賞、徵文投稿，也請多予支持，以利孩子開展視野，同時累積學習歷程。</w:t>
            </w:r>
          </w:p>
        </w:tc>
      </w:tr>
      <w:tr>
        <w:tblPrEx>
          <w:shd w:val="clear" w:color="auto" w:fill="ced7e7"/>
        </w:tblPrEx>
        <w:trPr>
          <w:trHeight w:val="1057" w:hRule="exac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both"/>
            </w:pP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辦公室：（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02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 xml:space="preserve">2533-4017 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 xml:space="preserve">轉 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214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215</w:t>
            </w:r>
            <w:r>
              <w:rPr>
                <w:rFonts w:eastAsia="Microsoft JhengHei" w:hint="eastAsia"/>
                <w:shd w:val="nil" w:color="auto" w:fill="auto"/>
                <w:rtl w:val="0"/>
                <w:lang w:val="zh-TW" w:eastAsia="zh-TW"/>
              </w:rPr>
              <w:t>、</w:t>
            </w:r>
            <w:r>
              <w:rPr>
                <w:rFonts w:ascii="Microsoft JhengHei" w:hAnsi="Microsoft JhengHei"/>
                <w:shd w:val="nil" w:color="auto" w:fill="auto"/>
                <w:rtl w:val="0"/>
                <w:lang w:val="en-US"/>
              </w:rPr>
              <w:t>216</w:t>
            </w:r>
          </w:p>
        </w:tc>
      </w:tr>
    </w:tbl>
    <w:p>
      <w:pPr>
        <w:pStyle w:val="問候"/>
        <w:ind w:left="216" w:hanging="216"/>
        <w:jc w:val="center"/>
      </w:pPr>
    </w:p>
    <w:p>
      <w:pPr>
        <w:pStyle w:val="問候"/>
        <w:ind w:left="108" w:hanging="108"/>
        <w:jc w:val="center"/>
      </w:pPr>
    </w:p>
    <w:p>
      <w:pPr>
        <w:pStyle w:val="問候"/>
        <w:jc w:val="center"/>
      </w:pP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1" w:right="0" w:hanging="1"/>
        <w:jc w:val="center"/>
        <w:outlineLvl w:val="0"/>
        <w:rPr>
          <w:rFonts w:ascii="Times New Roman" w:cs="Times New Roman" w:hAnsi="Times New Roman" w:eastAsia="Times New Roman"/>
          <w:kern w:val="2"/>
          <w:position w:val="-2"/>
          <w:sz w:val="24"/>
          <w:szCs w:val="24"/>
          <w:u w:color="000000"/>
          <w:rtl w:val="0"/>
        </w:rPr>
      </w:pP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1" w:right="0" w:hanging="1"/>
        <w:jc w:val="center"/>
        <w:outlineLvl w:val="0"/>
        <w:rPr>
          <w:rFonts w:ascii="Microsoft JhengHei" w:cs="Microsoft JhengHei" w:hAnsi="Microsoft JhengHei" w:eastAsia="Microsoft JhengHei"/>
          <w:outline w:val="0"/>
          <w:color w:val="000000"/>
          <w:kern w:val="2"/>
          <w:position w:val="-2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eastAsia="Microsoft JhengHei" w:hint="eastAsia"/>
          <w:outline w:val="0"/>
          <w:color w:val="000000"/>
          <w:kern w:val="2"/>
          <w:position w:val="-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1.</w:t>
            </w: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2.</w:t>
            </w: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3.</w:t>
            </w: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法治教育　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4.</w:t>
            </w: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永續發展　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5.</w:t>
            </w: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begin" w:fldLock="0"/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instrText xml:space="preserve"> HYPERLINK "http://www.edu.tw/files/site_content/B0055/5%25E4%25BA%25BA%25E6%25AC%258A%25E6%2595%2599%25E8%2582%25B2%25E8%25AD%25B0%25E9%25A1%258C1000111.pdf"</w:instrTex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separate" w:fldLock="0"/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人權教育</w:t>
            </w:r>
            <w:r>
              <w:rPr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end" w:fldLock="0"/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begin" w:fldLock="0"/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instrText xml:space="preserve"> HYPERLINK "http://www.edu.tw/files/site_content/B0055/6%25E7%2594%259F%25E6%25B6%25AF%25E7%2599%25BC%25E5%25B1%2595%25E6%2595%2599%25E8%2582%25B2%25E8%25AD%25B0%25E9%25A1%258C991229.pdf"</w:instrTex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separate" w:fldLock="0"/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多元文化教育</w:t>
            </w:r>
            <w:r>
              <w:rPr>
                <w:kern w:val="2"/>
                <w:position w:val="-2"/>
                <w:sz w:val="18"/>
                <w:szCs w:val="18"/>
                <w:u w:color="000000"/>
                <w:rtl w:val="0"/>
              </w:rPr>
              <w:fldChar w:fldCharType="end" w:fldLock="0"/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14. 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家庭暴力及性侵性騷教育　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 xml:space="preserve">16. 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其他</w:t>
            </w: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請說明</w:t>
            </w: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無"/>
                <w:kern w:val="2"/>
                <w:position w:val="-2"/>
                <w:sz w:val="18"/>
                <w:szCs w:val="18"/>
                <w:u w:val="single" w:color="000000"/>
                <w:shd w:val="nil" w:color="auto" w:fill="auto"/>
                <w:rtl w:val="0"/>
                <w:lang w:val="zh-TW" w:eastAsia="zh-TW"/>
              </w:rPr>
              <w:t xml:space="preserve">  道德教育</w:t>
            </w:r>
            <w:r>
              <w:rPr>
                <w:rStyle w:val="無"/>
                <w:kern w:val="2"/>
                <w:position w:val="-2"/>
                <w:sz w:val="18"/>
                <w:szCs w:val="18"/>
                <w:u w:val="single" w:color="000000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無"/>
                <w:kern w:val="2"/>
                <w:position w:val="-2"/>
                <w:sz w:val="18"/>
                <w:szCs w:val="18"/>
                <w:u w:val="single" w:color="00000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無"/>
                <w:kern w:val="2"/>
                <w:position w:val="-2"/>
                <w:sz w:val="18"/>
                <w:szCs w:val="18"/>
                <w:u w:val="single" w:color="000000"/>
                <w:shd w:val="nil" w:color="auto" w:fill="auto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238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週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212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資訊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議題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89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八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7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51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高一新生訓練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Hyperlink.0"/>
                <w:kern w:val="2"/>
                <w:position w:val="-2"/>
                <w:sz w:val="18"/>
                <w:szCs w:val="18"/>
                <w:u w:color="000000"/>
                <w:rtl w:val="0"/>
                <w:lang w:val="zh-TW" w:eastAsia="zh-TW"/>
              </w:rPr>
              <w:t>期初校務會議</w:t>
            </w:r>
          </w:p>
        </w:tc>
      </w:tr>
      <w:tr>
        <w:tblPrEx>
          <w:shd w:val="clear" w:color="auto" w:fill="ced7e7"/>
        </w:tblPrEx>
        <w:trPr>
          <w:trHeight w:val="27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 xml:space="preserve"> L1</w:t>
            </w:r>
            <w:r>
              <w:rPr>
                <w:rStyle w:val="Hyperlink.0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rtl w:val="0"/>
                <w:lang w:val="zh-TW" w:eastAsia="zh-TW"/>
              </w:rPr>
              <w:t>鴻門宴</w:t>
            </w:r>
            <w:r>
              <w:rPr>
                <w:rStyle w:val="無"/>
                <w:rFonts w:ascii="Cambria" w:cs="Cambria" w:hAnsi="Cambria" w:eastAsia="Cambria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期初教學研究會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18"/>
                <w:szCs w:val="18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開學、正式上課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16:00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幹部訓練（國中、高一二）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1-3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高三大考中心試辦考試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高一多元選修選課結果公告與上課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2-23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高二微課程、自主學習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3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九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Cambria" w:cs="Cambria" w:hAnsi="Cambria" w:eastAsia="Cambria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L1</w:t>
            </w:r>
            <w:r>
              <w:rPr>
                <w:rStyle w:val="Hyperlink.0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rtl w:val="0"/>
                <w:lang w:val="zh-TW" w:eastAsia="zh-TW"/>
              </w:rPr>
              <w:t>鴻門宴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L2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雲裡找門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7.10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高中導師會議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高二、三、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輔導課開始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高三晚自習開始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幹部訓練（高三）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高二校訂必修選課結果公告與上課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8-22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補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9/20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上班上課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10-11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高三第一次模擬考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L3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勸和論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寫作一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1.3.6.10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14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領航者社群會議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15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防災演練預演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17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國家防災日校園防災演練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17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17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學科能力競賽報名截止</w:t>
            </w:r>
          </w:p>
          <w:p>
            <w:pPr>
              <w:pStyle w:val="預設值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17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61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L3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勸和論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L4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新詩選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1.3.6.7.10.11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調整放假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中秋節放假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資訊學科能力競賽校內初賽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25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27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L4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新詩選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7.11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高一新生健檢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28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高中課程核心小組會議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優良生投票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29-10/6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30-10/7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學科能力競賽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高二三學生學習歷程檔案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課程學習成果、多元表現上傳截止（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：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00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）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Hyperlink.0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rtl w:val="0"/>
                <w:lang w:val="zh-TW" w:eastAsia="zh-TW"/>
              </w:rPr>
              <w:t>補充文選</w:t>
            </w: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L1</w:t>
            </w:r>
            <w:r>
              <w:rPr>
                <w:rStyle w:val="無"/>
                <w:rFonts w:ascii="Cambria" w:cs="Cambria" w:hAnsi="Cambria" w:eastAsia="Cambria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5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高中課發會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4-13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高一二晚自習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高二三學生學習歷程檔案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課程學習成果教師認證截止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中學生網站讀書心得寫作比賽投稿截止（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：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00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）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Cambria" w:cs="Cambria" w:hAnsi="Cambria" w:eastAsia="Cambria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rtl w:val="0"/>
                <w:lang w:val="zh-TW" w:eastAsia="zh-TW"/>
              </w:rPr>
              <w:t>第一次期中考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寫作二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國慶日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補行放假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13-14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全國高級中等學校小論文比賽投稿截止（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：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00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）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15-27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高一拔河比賽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L5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在迷宮中仰望星斗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18-22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期中教學研究會週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18-29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全校導師會議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高一新生胸部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X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光檢查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田徑單項計時決賽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20-11/3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大學多元入學家長說明會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21-11/11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高二微課程、自主學習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全校大隊接力預賽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大考中心英聽測驗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L6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先秦韻文選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領航者社群會議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高二舞蹈比賽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校內科展報名截止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一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L6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先秦韻文選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L7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一點六米寬的樓梯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3.6.7.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1-2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高三第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次模擬考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5 58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週年校慶預演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658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週年校慶暨園遊會、班際大隊接力決賽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L8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竹藪中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寫作三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7.11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校慶補假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全校學生流感疫苗接種（暫定）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10-24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高一自主學習先備課程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12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專任老師座談會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2183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L8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竹藪中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7.11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18-25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補充文選</w:t>
            </w: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L2.L3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1.7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高中導師會議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22-12/2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高一二晚自習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Cambria" w:cs="Cambria" w:hAnsi="Cambria" w:eastAsia="Cambria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rtl w:val="0"/>
                <w:lang w:val="zh-TW" w:eastAsia="zh-TW"/>
              </w:rPr>
              <w:t>第二次期中考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寫作四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領航者社群校際交流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2-3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二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L9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馮諼客孟嘗君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6-17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公開授課週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6-10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國語文競賽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高一自主學習先備課程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9-30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高二微課程、自主學習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大考中心英聽測驗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L9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馮諼客孟嘗君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L10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好奇的眼睛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13-17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期末教學研究會週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13-23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高一、二自主學習申請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14-15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高三第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次模擬考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15-29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75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L10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好奇的眼睛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寫作五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20-24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作業抽查週</w:t>
            </w:r>
          </w:p>
        </w:tc>
      </w:tr>
      <w:tr>
        <w:tblPrEx>
          <w:shd w:val="clear" w:color="auto" w:fill="ced7e7"/>
        </w:tblPrEx>
        <w:trPr>
          <w:trHeight w:val="3345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0" w:lineRule="atLeast"/>
              <w:ind w:left="0" w:right="0" w:firstLine="0"/>
              <w:jc w:val="left"/>
              <w:outlineLvl w:val="0"/>
              <w:rPr>
                <w:rStyle w:val="無"/>
                <w:rFonts w:ascii="Times New Roman" w:cs="Times New Roman" w:hAnsi="Times New Roman" w:eastAsia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補充文選</w:t>
            </w: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L4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非連續文本</w:t>
            </w: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三</w:t>
            </w: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3.7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27-28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英語文競賽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27-1/7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校內科展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28-1/4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高二下學期多元選修選課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高一多元選修發表會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高二自主學習發表會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高三輔導課結束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30-1/6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高一下學期多元選修選課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補行放假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110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元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zh-TW" w:eastAsia="zh-TW"/>
              </w:rPr>
              <w:t>期末考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標楷體" w:hAnsi="標楷體" w:hint="default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Ⅴ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b w:val="1"/>
                <w:bCs w:val="1"/>
                <w:kern w:val="2"/>
                <w:position w:val="-2"/>
                <w:sz w:val="24"/>
                <w:szCs w:val="24"/>
                <w:u w:color="000000"/>
                <w:shd w:val="nil" w:color="auto" w:fill="auto"/>
                <w:rtl w:val="0"/>
                <w:lang w:val="en-US"/>
              </w:rPr>
              <w:t>1.6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3-4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高三期末考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領航者社群會議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週記抽查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5-12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高一充實補強課程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6-13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預設值"/>
              <w:widowControl w:val="0"/>
              <w:suppressAutoHyphens w:val="1"/>
              <w:spacing w:before="0" w:line="240" w:lineRule="auto"/>
              <w:jc w:val="center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10-18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13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高二、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</w:rPr>
              <w:t>110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</w:rPr>
              <w:t>輔導課結束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</w:t>
            </w:r>
            <w:r>
              <w:rPr>
                <w:rStyle w:val="無"/>
                <w:outline w:val="0"/>
                <w:color w:val="000000"/>
                <w:kern w:val="2"/>
                <w:position w:val="-2"/>
                <w:sz w:val="20"/>
                <w:szCs w:val="20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高一、二自主學習計畫審核編班結果公告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spacing w:before="0" w:line="240" w:lineRule="auto"/>
              <w:ind w:left="0" w:right="0" w:firstLine="0"/>
              <w:jc w:val="both"/>
              <w:outlineLvl w:val="0"/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17-19</w:t>
            </w:r>
            <w:r>
              <w:rPr>
                <w:rStyle w:val="無"/>
                <w:outline w:val="0"/>
                <w:color w:val="ff0000"/>
                <w:kern w:val="2"/>
                <w:position w:val="-2"/>
                <w:sz w:val="20"/>
                <w:szCs w:val="2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高三晚自習結束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休業式；</w:t>
            </w: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校務會議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寒假開始</w:t>
            </w:r>
          </w:p>
          <w:p>
            <w:pPr>
              <w:pStyle w:val="預設值"/>
              <w:widowControl w:val="0"/>
              <w:tabs>
                <w:tab w:val="left" w:pos="720"/>
                <w:tab w:val="left" w:pos="1440"/>
                <w:tab w:val="left" w:pos="2160"/>
              </w:tabs>
              <w:suppressAutoHyphens w:val="1"/>
              <w:spacing w:before="0" w:line="240" w:lineRule="auto"/>
              <w:jc w:val="both"/>
              <w:outlineLvl w:val="0"/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21-23</w:t>
            </w:r>
            <w:r>
              <w:rPr>
                <w:rStyle w:val="Hyperlink.0"/>
                <w:kern w:val="2"/>
                <w:position w:val="-2"/>
                <w:sz w:val="20"/>
                <w:szCs w:val="20"/>
                <w:u w:color="000000"/>
                <w:rtl w:val="0"/>
                <w:lang w:val="zh-TW" w:eastAsia="zh-TW"/>
              </w:rPr>
              <w:t>大學學測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zh-TW" w:eastAsia="zh-TW"/>
              </w:rPr>
              <w:t>寒一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預設值"/>
              <w:widowControl w:val="0"/>
              <w:suppressAutoHyphens w:val="1"/>
              <w:bidi w:val="0"/>
              <w:spacing w:before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kern w:val="2"/>
                <w:position w:val="-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0" w:right="0" w:firstLine="0"/>
        <w:jc w:val="center"/>
        <w:outlineLvl w:val="0"/>
        <w:rPr>
          <w:rStyle w:val="無"/>
          <w:rFonts w:ascii="Microsoft JhengHei" w:cs="Microsoft JhengHei" w:hAnsi="Microsoft JhengHei" w:eastAsia="Microsoft JhengHei"/>
          <w:outline w:val="0"/>
          <w:color w:val="000000"/>
          <w:kern w:val="2"/>
          <w:position w:val="-2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0" w:right="0" w:firstLine="0"/>
        <w:jc w:val="left"/>
        <w:outlineLvl w:val="0"/>
        <w:rPr>
          <w:rStyle w:val="無"/>
          <w:outline w:val="0"/>
          <w:color w:val="000000"/>
          <w:kern w:val="2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0" w:right="0" w:firstLine="0"/>
        <w:jc w:val="left"/>
        <w:outlineLvl w:val="0"/>
        <w:rPr>
          <w:rStyle w:val="無"/>
          <w:outline w:val="0"/>
          <w:color w:val="000000"/>
          <w:kern w:val="2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預設值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bidi w:val="0"/>
        <w:spacing w:before="0" w:line="240" w:lineRule="auto"/>
        <w:ind w:left="0" w:right="0" w:firstLine="0"/>
        <w:jc w:val="left"/>
        <w:outlineLvl w:val="0"/>
        <w:rPr>
          <w:rtl w:val="0"/>
        </w:rPr>
      </w:pPr>
      <w:r>
        <w:rPr>
          <w:rStyle w:val="無"/>
          <w:outline w:val="0"/>
          <w:color w:val="000000"/>
          <w:kern w:val="2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預設值">
    <w:name w:val="預設值"/>
    <w:next w:val="預設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Microsoft JhengHei" w:cs="Microsoft JhengHei" w:hAnsi="Microsoft JhengHei" w:eastAsia="Microsoft JhengHe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shd w:val="nil" w:color="auto" w:fill="auto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