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111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學年度第一學期</w:t>
      </w: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高中部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</w:t>
      </w:r>
      <w:r>
        <w:rPr>
          <w:rFonts w:eastAsia="Microsoft JhengHei" w:hint="eastAsia"/>
          <w:sz w:val="36"/>
          <w:szCs w:val="36"/>
          <w:rtl w:val="0"/>
          <w:lang w:val="zh-TW" w:eastAsia="zh-TW"/>
        </w:rPr>
        <w:t>國文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 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科教學活動計畫書</w:t>
      </w: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2656"/>
        <w:gridCol w:w="1700"/>
        <w:gridCol w:w="3216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109</w:t>
            </w:r>
            <w:r>
              <w:rPr>
                <w:rFonts w:ascii="Arial Unicode MS" w:cs="Arial Unicode MS" w:hAnsi="Arial Unicode MS" w:eastAsia="Microsoft JhengHe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Microsoft JhengHei" w:cs="Arial Unicode MS" w:hAnsi="Microsoft JhengHe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1" w:right="0" w:hanging="1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Microsoft JhengHe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透過課程安排，認識自傳履歷的寫作方式，培養個人行銷的能力。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藉由相關議題探索，進行個人生命書寫與檢視，學習自我悅納。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運用實作技巧，培養資訊檢索、歸納與統整應用的能力。</w:t>
            </w:r>
          </w:p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lang w:val="zh-TW" w:eastAsia="zh-TW"/>
                <w14:textOutline>
                  <w14:noFill/>
                </w14:textOutline>
              </w:rPr>
            </w:pPr>
            <w:r>
              <w:rPr>
                <w:position w:val="-4"/>
                <w:rtl w:val="0"/>
                <w:lang w:val="en-US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課本教材：三民版國文（課本及相關學習講義、習作、文選）</w:t>
            </w:r>
          </w:p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課外閱讀：讀力關鍵</w:t>
            </w:r>
          </w:p>
          <w:p>
            <w:pPr>
              <w:pStyle w:val="Normal.0"/>
            </w:pPr>
            <w:r>
              <w:rPr>
                <w:rFonts w:ascii="Microsoft JhengHei" w:hAnsi="Microsoft JhengHei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教師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自編教材、投影片及學習單</w:t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lang w:val="zh-TW" w:eastAsia="zh-TW"/>
                <w14:textOutline>
                  <w14:noFill/>
                </w14:textOutline>
              </w:rPr>
            </w:pPr>
            <w:r>
              <w:rPr>
                <w:position w:val="-4"/>
                <w:rtl w:val="0"/>
                <w:lang w:val="en-US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作文、閱讀心得</w:t>
            </w:r>
          </w:p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讀力關鍵課外閱讀</w:t>
            </w:r>
          </w:p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作業訂正：考卷、習作、補充講義</w:t>
            </w:r>
          </w:p>
          <w:p>
            <w:pPr>
              <w:pStyle w:val="Normal.0"/>
            </w:pPr>
            <w:r>
              <w:rPr>
                <w:rFonts w:ascii="Microsoft JhengHei" w:hAnsi="Microsoft JhengHei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4.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其他指定項目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課堂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作業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、作文：</w:t>
            </w:r>
            <w:r>
              <w:rPr>
                <w:rFonts w:ascii="Microsoft JhengHei" w:hAnsi="Microsoft JhengHei"/>
                <w:position w:val="-4"/>
                <w:rtl w:val="0"/>
                <w:lang w:val="en-US"/>
                <w14:textOutline>
                  <w14:noFill/>
                </w14:textOutline>
              </w:rPr>
              <w:t>5</w:t>
            </w:r>
            <w:r>
              <w:rPr>
                <w:rFonts w:ascii="Microsoft JhengHei" w:hAnsi="Microsoft JhengHei"/>
                <w:position w:val="-4"/>
                <w:rtl w:val="0"/>
                <w:lang w:val="en-US"/>
                <w14:textOutline>
                  <w14:noFill/>
                </w14:textOutline>
              </w:rPr>
              <w:t>0%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平時測驗（默書、測驗卷）：</w:t>
            </w:r>
            <w:r>
              <w:rPr>
                <w:rFonts w:ascii="Microsoft JhengHei" w:hAnsi="Microsoft JhengHei"/>
                <w:position w:val="-4"/>
                <w:rtl w:val="0"/>
                <w:lang w:val="en-US"/>
                <w14:textOutline>
                  <w14:noFill/>
                </w14:textOutline>
              </w:rPr>
              <w:t>5</w:t>
            </w:r>
            <w:r>
              <w:rPr>
                <w:rFonts w:ascii="Microsoft JhengHei" w:hAnsi="Microsoft JhengHei"/>
                <w:position w:val="-4"/>
                <w:rtl w:val="0"/>
                <w:lang w:val="en-US"/>
                <w14:textOutline>
                  <w14:noFill/>
                </w14:textOutline>
              </w:rPr>
              <w:t>0%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其他加分項目（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課程參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與等）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第一次段考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0%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第二次段考</w:t>
            </w:r>
            <w:r>
              <w:rPr>
                <w:rFonts w:ascii="Microsoft JhengHei" w:hAnsi="Microsoft JhengHei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2</w:t>
            </w:r>
            <w:r>
              <w:rPr>
                <w:rFonts w:ascii="Microsoft JhengHei" w:hAnsi="Microsoft JhengHei"/>
                <w:position w:val="-4"/>
                <w:rtl w:val="0"/>
                <w:lang w:val="en-US"/>
                <w14:textOutline>
                  <w14:noFill/>
                </w14:textOutline>
              </w:rPr>
              <w:t>0%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、期末考</w:t>
            </w:r>
            <w:r>
              <w:rPr>
                <w:rFonts w:ascii="Microsoft JhengHei" w:hAnsi="Microsoft JhengHei"/>
                <w:position w:val="-4"/>
                <w:rtl w:val="0"/>
                <w:lang w:val="en-US"/>
                <w14:textOutline>
                  <w14:noFill/>
                </w14:textOutline>
              </w:rPr>
              <w:t>30%</w:t>
            </w:r>
            <w:r>
              <w:rPr>
                <w:rFonts w:eastAsia="Microsoft JhengHei" w:hint="eastAsia"/>
                <w:position w:val="-4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平時成績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3</w:t>
            </w: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0%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1" w:right="0" w:hanging="1"/>
              <w:jc w:val="left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Microsoft JhengHe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-2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讀書心得、個人創作、課堂指定作業</w:t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1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1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請叮囑孩子在規定時間內完成個人備審資料，並在指定時間完成上傳。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4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請鼓勵並培養孩子關心時事的態度及廣泛的閱讀習慣，持續累積閱讀素材及思考內容，留下文字心得。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楷體-簡" w:cs="楷體-簡" w:hAnsi="楷體-簡" w:eastAsia="楷體-簡"/>
                <w:position w:val="-4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大直高中</w:t>
            </w: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(02)25334710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分機</w:t>
            </w: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214</w:t>
            </w: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215</w:t>
            </w: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、</w:t>
            </w:r>
            <w:r>
              <w:rPr>
                <w:rFonts w:ascii="楷體-簡" w:cs="楷體-簡" w:hAnsi="楷體-簡" w:eastAsia="楷體-簡"/>
                <w:position w:val="-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216</w:t>
            </w:r>
          </w:p>
        </w:tc>
      </w:tr>
    </w:tbl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pgNumType w:start="1"/>
          <w:bidi w:val="0"/>
        </w:sectPr>
      </w:pP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  <w:r>
        <w:rPr>
          <w:rFonts w:ascii="Microsoft JhengHei" w:hAnsi="Microsoft JhengHei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eastAsia="Microsoft JhengHei" w:hint="eastAsia"/>
          <w:outline w:val="0"/>
          <w:color w:val="000000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請特別確認是否有</w:t>
      </w:r>
      <w:r>
        <w:rPr>
          <w:rFonts w:eastAsia="Microsoft JhengHei" w:hint="eastAsia"/>
          <w:outline w:val="0"/>
          <w:color w:val="000000"/>
          <w:u w:val="single"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性別平等</w:t>
      </w:r>
      <w:r>
        <w:rPr>
          <w:rFonts w:eastAsia="Microsoft JhengHei" w:hint="eastAsia"/>
          <w:outline w:val="0"/>
          <w:color w:val="000000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相關單元</w:t>
      </w:r>
      <w:r>
        <w:rPr>
          <w:rFonts w:ascii="Microsoft JhengHei" w:hAnsi="Microsoft JhengHei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　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　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"http://www.edu.tw/files/site_content/B0055/5%25E4%25BA%25BA%25E6%25AC%258A%25E6%2595%2599%25E8%2582%25B2%25E8%25AD%25B0%25E9%25A1%258C1000111.pdf"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"http://www.edu.tw/files/site_content/B0055/6%25E7%2594%259F%25E6%25B6%25AF%25E7%2599%25BC%25E5%25B1%2595%25E6%2595%2599%25E8%2582%25B2%25E8%25AD%25B0%25E9%25A1%258C991229.pdf"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14.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　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16.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如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國際教育</w:t>
            </w:r>
            <w:r>
              <w:rPr>
                <w:rStyle w:val="無"/>
                <w:rFonts w:ascii="Microsoft JhengHei" w:hAnsi="Microsoft JhengHei" w:hint="default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left="212" w:right="212" w:firstLine="0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left="89" w:right="89" w:firstLine="0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暑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備課週</w:t>
            </w:r>
          </w:p>
        </w:tc>
      </w:tr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桃花源記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開學、正式上課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31-10/12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(106-109)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高三輔導課、晚自習開始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高二自主學習編班公告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高二校訂必修選課結果公告與上課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L2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現代詩選：再別康橋、錯誤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高一二輔導課開始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5-6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中秋節補假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中秋節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L3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師說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41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ind w:left="332" w:hanging="332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數理學科能力競賽報名截止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332" w:right="0" w:hanging="332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防災演練預演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332" w:right="0" w:hanging="332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16 110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學年度學習歷程檔案課程學習成果、多元表現勾選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(17:00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332" w:right="0" w:hanging="332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L4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從「感覺」到「事實」的差距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22-23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高一新生健檢</w:t>
            </w:r>
          </w:p>
          <w:p>
            <w:pPr>
              <w:pStyle w:val="Normal.0"/>
              <w:bidi w:val="0"/>
              <w:spacing w:line="240" w:lineRule="auto"/>
              <w:ind w:left="376" w:right="0" w:hanging="376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數理學科能力競賽校內初賽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課外閱讀文選：世說新語選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教師節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29-10/6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100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課外閱讀文選：傷仲詠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3-13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論語選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國慶日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1111010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梯次讀書心得比賽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12:00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截稿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校內科展開始報名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13-14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1111015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梯次小論文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12:00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截稿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L5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樂府詩選：陌上桑、長干行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高一新生胸部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X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光檢查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17-26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高一拔河比賽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田徑單項計時決賽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19-11/23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(106-110)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20-11/10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20 19:00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大學多元入學家長說明會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全校大隊接力預賽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大考中心英聽測驗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L6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髻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24-11/4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L7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醉翁亭記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88" w:hanging="88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1-2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88" w:right="0" w:hanging="88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4 59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週年校慶預演</w:t>
            </w:r>
          </w:p>
          <w:p>
            <w:pPr>
              <w:pStyle w:val="Normal.0"/>
              <w:bidi w:val="0"/>
              <w:spacing w:line="240" w:lineRule="auto"/>
              <w:ind w:left="88" w:right="0" w:hanging="88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5 59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課外閱讀文選：樂府詩選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116" w:hanging="116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校慶補假</w:t>
            </w:r>
          </w:p>
          <w:p>
            <w:pPr>
              <w:pStyle w:val="Normal.0"/>
              <w:bidi w:val="0"/>
              <w:spacing w:line="240" w:lineRule="auto"/>
              <w:ind w:left="116" w:right="0" w:hanging="116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全校學生流感疫苗接種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課外閱讀文選：夢溪筆談選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258" w:hanging="258"/>
              <w:jc w:val="both"/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17-24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論語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21-29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論語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29-30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第</w:t>
            </w:r>
            <w:r>
              <w:rPr>
                <w:rStyle w:val="無"/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L8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文學門縫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7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660" w:hanging="66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學生上傳學習歷程課程成果開始</w:t>
            </w:r>
          </w:p>
          <w:p>
            <w:pPr>
              <w:pStyle w:val="Normal.0"/>
              <w:bidi w:val="0"/>
              <w:spacing w:line="240" w:lineRule="auto"/>
              <w:ind w:left="660" w:right="0" w:hanging="66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教師認證學習歷程課程成果開始</w:t>
            </w:r>
          </w:p>
          <w:p>
            <w:pPr>
              <w:pStyle w:val="Normal.0"/>
              <w:bidi w:val="0"/>
              <w:spacing w:line="240" w:lineRule="auto"/>
              <w:ind w:left="660" w:right="0" w:hanging="66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7-1/11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(106-110)</w:t>
            </w:r>
          </w:p>
          <w:p>
            <w:pPr>
              <w:pStyle w:val="Normal.0"/>
              <w:bidi w:val="0"/>
              <w:spacing w:line="240" w:lineRule="auto"/>
              <w:ind w:left="660" w:right="0" w:hanging="66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大考中心英聽測驗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L9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項脊軒志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12-16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國語文競賽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14-15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L10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孔乙己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19-20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英語文競賽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19-23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19-29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作業抽查週</w:t>
            </w:r>
          </w:p>
        </w:tc>
      </w:tr>
      <w:tr>
        <w:tblPrEx>
          <w:shd w:val="clear" w:color="auto" w:fill="ced7e7"/>
        </w:tblPrEx>
        <w:trPr>
          <w:trHeight w:val="123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L11</w:t>
            </w: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記憶中的一爿書店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106-110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自主學習計畫繳件截止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27-28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高一多元選修發表會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課外閱讀文選：左忠毅公逸事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開國紀念日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元旦補假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3-7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高一二下學期多元選修選課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5-12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1/20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課外閱讀文選：范進中舉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220" w:hanging="22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9-17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220" w:right="0" w:hanging="22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Normal.0"/>
              <w:bidi w:val="0"/>
              <w:spacing w:line="240" w:lineRule="auto"/>
              <w:ind w:left="220" w:right="0" w:hanging="22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 15:00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高三看考場</w:t>
            </w:r>
          </w:p>
          <w:p>
            <w:pPr>
              <w:pStyle w:val="Normal.0"/>
              <w:bidi w:val="0"/>
              <w:spacing w:line="240" w:lineRule="auto"/>
              <w:ind w:left="220" w:right="0" w:hanging="22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高一二輔導課結束</w:t>
            </w:r>
          </w:p>
          <w:p>
            <w:pPr>
              <w:pStyle w:val="Normal.0"/>
              <w:bidi w:val="0"/>
              <w:spacing w:line="240" w:lineRule="auto"/>
              <w:ind w:left="220" w:right="0" w:hanging="22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13-15</w:t>
            </w:r>
            <w:r>
              <w:rPr>
                <w:rStyle w:val="無"/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大學學科能力測驗</w:t>
            </w:r>
          </w:p>
        </w:tc>
      </w:tr>
      <w:tr>
        <w:tblPrEx>
          <w:shd w:val="clear" w:color="auto" w:fill="ced7e7"/>
        </w:tblPrEx>
        <w:trPr>
          <w:trHeight w:val="74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論語</w:t>
            </w: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17-18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高一、二期末考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寒假開始</w:t>
            </w:r>
          </w:p>
        </w:tc>
      </w:tr>
    </w:tbl>
    <w:p>
      <w:pPr>
        <w:pStyle w:val="Normal.0"/>
        <w:spacing w:line="240" w:lineRule="auto"/>
        <w:jc w:val="center"/>
        <w:rPr>
          <w:rStyle w:val="無"/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</w:pPr>
      <w:r>
        <w:rPr>
          <w:rStyle w:val="無"/>
          <w:rFonts w:ascii="Microsoft JhengHei" w:cs="Microsoft JhengHei" w:hAnsi="Microsoft JhengHei" w:eastAsia="Microsoft JhengHe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Cambria">
    <w:charset w:val="00"/>
    <w:family w:val="roman"/>
    <w:pitch w:val="default"/>
  </w:font>
  <w:font w:name="楷體-簡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2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編號">
    <w:name w:val="內文編號"/>
    <w:next w:val="內文編號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tLeast"/>
      <w:ind w:left="0" w:right="0" w:firstLine="0"/>
      <w:jc w:val="both"/>
      <w:outlineLvl w:val="0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-2"/>
      <w:sz w:val="24"/>
      <w:szCs w:val="24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