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1A" w:rsidRDefault="00C97F1A" w:rsidP="00C9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臺北市立大直高級中學113學年度第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C97F1A" w:rsidRDefault="00C97F1A" w:rsidP="00C9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C97F1A" w:rsidRPr="00BE01D3" w:rsidTr="00A87854">
        <w:trPr>
          <w:trHeight w:val="835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C97F1A" w:rsidRPr="00BE01D3" w:rsidRDefault="00C97F1A" w:rsidP="0020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 w:hint="eastAsia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2039B7">
              <w:rPr>
                <w:rFonts w:ascii="Arial" w:hAnsi="Arial" w:cs="Arial"/>
                <w:sz w:val="28"/>
                <w:szCs w:val="28"/>
              </w:rPr>
              <w:t>7</w:t>
            </w:r>
            <w:r>
              <w:rPr>
                <w:rFonts w:ascii="Arial" w:hAnsi="Arial" w:cs="Arial" w:hint="eastAsia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2039B7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C97F1A" w:rsidRPr="00BE01D3" w:rsidRDefault="002039B7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陳煌仁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C97F1A" w:rsidRPr="003F4814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繼續高中二年級化學教育，增進學生對「化學反應與平衡」的認識，探索化學基本原理，獲得化學實驗操作之技能，以奠定學習專門知能之基礎。</w:t>
            </w:r>
          </w:p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3F4814" w:rsidRDefault="00C97F1A" w:rsidP="00A8785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V</w:t>
            </w:r>
          </w:p>
          <w:p w:rsidR="00C97F1A" w:rsidRPr="003F4814" w:rsidRDefault="00C97F1A" w:rsidP="00A8785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C97F1A" w:rsidRPr="003F4814" w:rsidRDefault="00C97F1A" w:rsidP="00A8785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C97F1A" w:rsidRPr="00BE01D3" w:rsidTr="00A87854">
        <w:trPr>
          <w:trHeight w:val="862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E53B15" w:rsidRDefault="00C97F1A" w:rsidP="00A87854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:rsidR="00C97F1A" w:rsidRPr="00BE01D3" w:rsidRDefault="00C97F1A" w:rsidP="00A87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E53B15" w:rsidRDefault="00C97F1A" w:rsidP="00A87854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6" w:hangingChars="190" w:hanging="456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E53B15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E53B15" w:rsidRDefault="00C97F1A" w:rsidP="00A87854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C97F1A" w:rsidRPr="00E53B15" w:rsidRDefault="00C97F1A" w:rsidP="00A87854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C97F1A" w:rsidRDefault="00C97F1A" w:rsidP="00A87854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C97F1A" w:rsidRPr="008F22E8" w:rsidRDefault="00C97F1A" w:rsidP="00A87854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8F22E8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八、</w:t>
            </w:r>
            <w:r w:rsidRPr="008F22E8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8F22E8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1" w:left="318" w:hangingChars="113" w:hanging="316"/>
              <w:jc w:val="both"/>
              <w:textAlignment w:val="auto"/>
              <w:outlineLvl w:val="9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.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C97F1A" w:rsidRPr="008F22E8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8F22E8" w:rsidRDefault="00C97F1A" w:rsidP="0020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25334017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轉</w:t>
            </w:r>
            <w:r w:rsidR="002039B7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2</w:t>
            </w:r>
            <w:r w:rsidR="002039B7">
              <w:rPr>
                <w:rFonts w:ascii="Arial" w:eastAsia="標楷體" w:hAnsi="Arial" w:cs="Arial"/>
                <w:color w:val="000000"/>
                <w:sz w:val="28"/>
                <w:szCs w:val="28"/>
              </w:rPr>
              <w:t>17</w:t>
            </w:r>
          </w:p>
        </w:tc>
      </w:tr>
    </w:tbl>
    <w:p w:rsidR="00C97F1A" w:rsidRDefault="00C97F1A" w:rsidP="00C9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C97F1A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C97F1A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高三選修化學</w:t>
      </w: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c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4067"/>
        <w:gridCol w:w="2122"/>
      </w:tblGrid>
      <w:tr w:rsidR="00C97F1A" w:rsidRPr="00E73A07" w:rsidTr="009E33F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97F1A" w:rsidRPr="00E73A07" w:rsidTr="009E33FF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7F1A" w:rsidRPr="00E73A07" w:rsidRDefault="007E7C0A" w:rsidP="007E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第四回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C97F1A" w:rsidRPr="00E73A07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C97F1A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C97F1A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C97F1A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E7C0A" w:rsidRDefault="007E7C0A" w:rsidP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800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第四回</w:t>
            </w:r>
          </w:p>
          <w:p w:rsidR="00C97F1A" w:rsidRDefault="00C97F1A" w:rsidP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1-4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溶解平衡</w:t>
            </w:r>
          </w:p>
          <w:p w:rsidR="00327CD4" w:rsidRPr="00966356" w:rsidRDefault="000F4424" w:rsidP="00327CD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="00327CD4"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 w:rsidR="00327CD4"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高三第一次模擬考</w:t>
            </w:r>
          </w:p>
          <w:p w:rsidR="00327CD4" w:rsidRPr="007E7C0A" w:rsidRDefault="002E6CC2" w:rsidP="007E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 w:rsidR="007E7C0A">
              <w:rPr>
                <w:rFonts w:ascii="微軟正黑體" w:eastAsia="微軟正黑體" w:hAnsi="微軟正黑體" w:hint="eastAsia"/>
                <w:sz w:val="20"/>
                <w:szCs w:val="20"/>
              </w:rPr>
              <w:t>模擬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97F1A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C97F1A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C97F1A" w:rsidRPr="00153B48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4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5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高三第1次模擬考</w:t>
            </w:r>
          </w:p>
          <w:p w:rsidR="00C97F1A" w:rsidRDefault="00C97F1A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C97F1A" w:rsidRPr="00E73A07" w:rsidRDefault="00C97F1A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C97F1A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27CD4" w:rsidRPr="00966356" w:rsidRDefault="00327CD4" w:rsidP="0032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模擬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  <w:p w:rsidR="00C97F1A" w:rsidRPr="00E73A07" w:rsidRDefault="00327CD4" w:rsidP="0032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1-4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溶解平衡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97F1A" w:rsidRPr="00E73A07" w:rsidRDefault="00C97F1A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C97F1A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38DE" w:rsidRPr="000F4424" w:rsidRDefault="009438DE" w:rsidP="009438D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0F4424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0F4424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II </w:t>
            </w:r>
            <w:r w:rsidRPr="000F4424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2</w:t>
            </w:r>
            <w:r w:rsidRPr="000F4424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-</w:t>
            </w:r>
            <w:r w:rsidRPr="000F4424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1</w:t>
            </w:r>
            <w:r w:rsidRPr="000F4424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 xml:space="preserve"> </w:t>
            </w:r>
            <w:r w:rsidRPr="000F4424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水的解離平衡</w:t>
            </w:r>
            <w:r w:rsidRPr="000F4424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:rsidR="00C97F1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2布-洛酸鹼學說</w:t>
            </w:r>
          </w:p>
          <w:p w:rsidR="00E40821" w:rsidRPr="00E73A07" w:rsidRDefault="00E40821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3弱</w:t>
            </w:r>
            <w:r w:rsidRPr="00EB12EC">
              <w:rPr>
                <w:rFonts w:ascii="微軟正黑體" w:eastAsia="微軟正黑體" w:hAnsi="微軟正黑體" w:cs="Arial"/>
              </w:rPr>
              <w:t>酸</w:t>
            </w:r>
            <w:r w:rsidRPr="00EB12EC">
              <w:rPr>
                <w:rFonts w:ascii="微軟正黑體" w:eastAsia="微軟正黑體" w:hAnsi="微軟正黑體" w:cs="Arial" w:hint="eastAsia"/>
              </w:rPr>
              <w:t>、弱</w:t>
            </w:r>
            <w:r w:rsidRPr="00EB12EC">
              <w:rPr>
                <w:rFonts w:ascii="微軟正黑體" w:eastAsia="微軟正黑體" w:hAnsi="微軟正黑體" w:cs="Arial"/>
              </w:rPr>
              <w:t>鹼的解離</w:t>
            </w:r>
            <w:r w:rsidRPr="00EB12EC">
              <w:rPr>
                <w:rFonts w:ascii="微軟正黑體" w:eastAsia="微軟正黑體" w:hAnsi="微軟正黑體" w:cs="Arial" w:hint="eastAsia"/>
              </w:rPr>
              <w:t>常數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97F1A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CE3049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7</w:t>
            </w:r>
            <w:r w:rsidR="00CE3049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中秋節放假</w:t>
            </w:r>
          </w:p>
          <w:p w:rsidR="00C97F1A" w:rsidRPr="00F836FF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438DE" w:rsidRPr="00EB12EC" w:rsidRDefault="009438DE" w:rsidP="009438D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3弱</w:t>
            </w:r>
            <w:r w:rsidRPr="00EB12EC">
              <w:rPr>
                <w:rFonts w:ascii="微軟正黑體" w:eastAsia="微軟正黑體" w:hAnsi="微軟正黑體" w:cs="Arial"/>
              </w:rPr>
              <w:t>酸</w:t>
            </w:r>
            <w:r w:rsidRPr="00EB12EC">
              <w:rPr>
                <w:rFonts w:ascii="微軟正黑體" w:eastAsia="微軟正黑體" w:hAnsi="微軟正黑體" w:cs="Arial" w:hint="eastAsia"/>
              </w:rPr>
              <w:t>、弱</w:t>
            </w:r>
            <w:r w:rsidRPr="00EB12EC">
              <w:rPr>
                <w:rFonts w:ascii="微軟正黑體" w:eastAsia="微軟正黑體" w:hAnsi="微軟正黑體" w:cs="Arial"/>
              </w:rPr>
              <w:t>鹼的解離</w:t>
            </w:r>
            <w:r w:rsidRPr="00EB12EC">
              <w:rPr>
                <w:rFonts w:ascii="微軟正黑體" w:eastAsia="微軟正黑體" w:hAnsi="微軟正黑體" w:cs="Arial" w:hint="eastAsia"/>
              </w:rPr>
              <w:t>常數</w:t>
            </w:r>
          </w:p>
          <w:p w:rsidR="009438DE" w:rsidRPr="00EB12EC" w:rsidRDefault="009438DE" w:rsidP="009438DE">
            <w:pPr>
              <w:ind w:left="0" w:hanging="2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鹽類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38DE" w:rsidRPr="00EB12EC" w:rsidRDefault="009438DE" w:rsidP="009438DE">
            <w:pPr>
              <w:ind w:left="0" w:hanging="2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-4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鹽類</w:t>
            </w:r>
          </w:p>
          <w:p w:rsidR="009438DE" w:rsidRPr="00EB12EC" w:rsidRDefault="009438DE" w:rsidP="009438D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5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酸鹼滴定與滴定曲線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38DE" w:rsidRDefault="009438DE" w:rsidP="009438DE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5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酸鹼滴定與滴定曲線</w:t>
            </w:r>
          </w:p>
          <w:p w:rsidR="009438DE" w:rsidRPr="00EB12EC" w:rsidRDefault="009438DE" w:rsidP="009438DE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  <w:r>
              <w:rPr>
                <w:rFonts w:ascii="微軟正黑體" w:eastAsia="微軟正黑體" w:hAnsi="微軟正黑體" w:cs="Arial" w:hint="eastAsia"/>
                <w:bCs/>
              </w:rPr>
              <w:t>(</w:t>
            </w:r>
            <w:r w:rsidR="00CE3049">
              <w:rPr>
                <w:rFonts w:ascii="微軟正黑體" w:eastAsia="微軟正黑體" w:hAnsi="微軟正黑體" w:cs="Arial" w:hint="eastAsia"/>
                <w:bCs/>
              </w:rPr>
              <w:t>含暑假做的兩</w:t>
            </w:r>
            <w:r>
              <w:rPr>
                <w:rFonts w:ascii="微軟正黑體" w:eastAsia="微軟正黑體" w:hAnsi="微軟正黑體" w:cs="Arial" w:hint="eastAsia"/>
                <w:bCs/>
              </w:rPr>
              <w:t>個實驗)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C97F1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C97F1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38D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67" w:type="dxa"/>
            <w:tcBorders>
              <w:left w:val="single" w:sz="12" w:space="0" w:color="000000"/>
              <w:right w:val="single" w:sz="4" w:space="0" w:color="000000"/>
            </w:tcBorders>
          </w:tcPr>
          <w:p w:rsidR="00E15CEC" w:rsidRDefault="00E15CEC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  <w:r>
              <w:rPr>
                <w:rFonts w:ascii="微軟正黑體" w:eastAsia="微軟正黑體" w:hAnsi="微軟正黑體" w:cs="Arial" w:hint="eastAsia"/>
                <w:bCs/>
              </w:rPr>
              <w:t>(含暑假做的兩個實驗)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153B48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1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6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-1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7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第1次期中考</w:t>
            </w:r>
          </w:p>
          <w:p w:rsidR="009438DE" w:rsidRPr="0079720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79720A"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18</w:t>
            </w:r>
            <w:r w:rsidRPr="0079720A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自然科校內複習考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720A" w:rsidRPr="0079720A" w:rsidRDefault="0079720A" w:rsidP="0079720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  <w:p w:rsidR="009438DE" w:rsidRPr="00966356" w:rsidRDefault="009438DE" w:rsidP="009438DE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II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2</w:t>
            </w:r>
            <w:r w:rsidRPr="00EB12EC">
              <w:rPr>
                <w:rFonts w:ascii="微軟正黑體" w:eastAsia="微軟正黑體" w:hAnsi="微軟正黑體" w:cs="Arial"/>
                <w:bCs/>
              </w:rPr>
              <w:t>-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6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Pr="00EB12EC">
              <w:rPr>
                <w:rFonts w:ascii="微軟正黑體" w:eastAsia="微軟正黑體" w:hAnsi="微軟正黑體" w:cs="Arial" w:hint="eastAsia"/>
                <w:bCs/>
              </w:rPr>
              <w:t>緩衝液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56071E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8DE" w:rsidRPr="00C97F1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C97F1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38DE" w:rsidRPr="006051BA" w:rsidRDefault="009438DE" w:rsidP="009438D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6051BA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6051BA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V</w:t>
            </w:r>
            <w:r w:rsidRPr="006051B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1-</w:t>
            </w:r>
            <w:r w:rsidRPr="006051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r w:rsidRPr="006051BA">
              <w:rPr>
                <w:rFonts w:ascii="微軟正黑體" w:eastAsia="微軟正黑體" w:hAnsi="微軟正黑體" w:hint="eastAsia"/>
                <w:sz w:val="20"/>
                <w:szCs w:val="20"/>
              </w:rPr>
              <w:t>氧化數的規則與應用</w:t>
            </w:r>
            <w:r w:rsidRPr="0079071A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:rsidR="009438DE" w:rsidRDefault="009438DE" w:rsidP="0079720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bCs/>
                <w:color w:val="0070C0"/>
                <w:sz w:val="20"/>
                <w:szCs w:val="20"/>
              </w:rPr>
            </w:pPr>
            <w:r w:rsidRPr="006051BA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6051BA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V</w:t>
            </w:r>
            <w:r w:rsidRPr="006051B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1-</w:t>
            </w:r>
            <w:r w:rsidRPr="006051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  <w:r w:rsidRPr="006051BA">
              <w:rPr>
                <w:rFonts w:ascii="微軟正黑體" w:eastAsia="微軟正黑體" w:hAnsi="微軟正黑體" w:hint="eastAsia"/>
                <w:sz w:val="20"/>
                <w:szCs w:val="20"/>
              </w:rPr>
              <w:t>氧化還原反應式的平衡</w:t>
            </w:r>
            <w:r w:rsidRPr="0079071A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:rsidR="0079720A" w:rsidRDefault="0079720A" w:rsidP="0079720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bCs/>
                <w:color w:val="0070C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9</w:t>
            </w:r>
            <w:r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-3</w:t>
            </w:r>
            <w:r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</w:rPr>
              <w:t>高三第2次模擬考</w:t>
            </w:r>
          </w:p>
          <w:p w:rsidR="0079720A" w:rsidRPr="0079720A" w:rsidRDefault="0079720A" w:rsidP="0079720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模擬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153B48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29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-3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0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高三第2次模擬考</w:t>
            </w:r>
          </w:p>
        </w:tc>
      </w:tr>
      <w:tr w:rsidR="00C63B53" w:rsidRPr="00E73A07" w:rsidTr="009E33F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3B53" w:rsidRDefault="00C63B53" w:rsidP="00C63B5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 w:rsidR="0079720A">
              <w:rPr>
                <w:rFonts w:ascii="微軟正黑體" w:eastAsia="微軟正黑體" w:hAnsi="微軟正黑體" w:hint="eastAsia"/>
                <w:sz w:val="20"/>
                <w:szCs w:val="20"/>
              </w:rPr>
              <w:t>模擬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  <w:p w:rsidR="007F401B" w:rsidRPr="007F401B" w:rsidRDefault="007F401B" w:rsidP="007F401B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bCs/>
                <w:color w:val="0070C0"/>
                <w:sz w:val="20"/>
                <w:szCs w:val="20"/>
              </w:rPr>
            </w:pPr>
            <w:r w:rsidRPr="006051BA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選化I</w:t>
            </w:r>
            <w:r w:rsidRPr="006051BA">
              <w:rPr>
                <w:rFonts w:ascii="微軟正黑體" w:eastAsia="微軟正黑體" w:hAnsi="微軟正黑體" w:cs="Arial"/>
                <w:bCs/>
                <w:sz w:val="20"/>
                <w:szCs w:val="20"/>
              </w:rPr>
              <w:t>V</w:t>
            </w:r>
            <w:r w:rsidRPr="006051BA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1-</w:t>
            </w:r>
            <w:r w:rsidRPr="006051BA"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  <w:r w:rsidRPr="006051BA">
              <w:rPr>
                <w:rFonts w:ascii="微軟正黑體" w:eastAsia="微軟正黑體" w:hAnsi="微軟正黑體" w:hint="eastAsia"/>
                <w:sz w:val="20"/>
                <w:szCs w:val="20"/>
              </w:rPr>
              <w:t>氧化還原反應式的平衡</w:t>
            </w:r>
            <w:r w:rsidRPr="0079071A">
              <w:rPr>
                <w:rFonts w:ascii="微軟正黑體" w:eastAsia="微軟正黑體" w:hAnsi="微軟正黑體" w:cs="Arial" w:hint="eastAsia"/>
                <w:bCs/>
                <w:color w:val="0070C0"/>
                <w:sz w:val="20"/>
                <w:szCs w:val="20"/>
              </w:rPr>
              <w:t>(已教過)</w:t>
            </w:r>
          </w:p>
          <w:p w:rsidR="00C63B53" w:rsidRPr="0079720A" w:rsidRDefault="00C63B53" w:rsidP="0079720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3</w:t>
            </w:r>
            <w:r w:rsidRPr="00EB12EC">
              <w:rPr>
                <w:rFonts w:ascii="微軟正黑體" w:eastAsia="微軟正黑體" w:hAnsi="微軟正黑體" w:hint="eastAsia"/>
              </w:rPr>
              <w:t>氧化還原滴定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97F1A">
              <w:rPr>
                <w:rFonts w:ascii="微軟正黑體" w:eastAsia="微軟正黑體" w:hAnsi="微軟正黑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38D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3B53" w:rsidRPr="00BB1B3D" w:rsidRDefault="00C63B53" w:rsidP="00C63B53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1-</w:t>
            </w:r>
            <w:r w:rsidRPr="00EB12EC">
              <w:rPr>
                <w:rFonts w:ascii="微軟正黑體" w:eastAsia="微軟正黑體" w:hAnsi="微軟正黑體" w:cs="Arial" w:hint="eastAsia"/>
              </w:rPr>
              <w:t>4</w:t>
            </w:r>
            <w:r w:rsidRPr="00EB12EC">
              <w:rPr>
                <w:rFonts w:ascii="微軟正黑體" w:eastAsia="微軟正黑體" w:hAnsi="微軟正黑體" w:hint="eastAsia"/>
              </w:rPr>
              <w:t>電池的電動勢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2E6CC2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11</w:t>
            </w:r>
            <w:r w:rsidRPr="002E6CC2"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  <w:t>校慶補假</w:t>
            </w:r>
          </w:p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15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720A" w:rsidRDefault="0079720A" w:rsidP="00C63B53">
            <w:pPr>
              <w:snapToGrid w:val="0"/>
              <w:ind w:leftChars="0" w:left="0" w:firstLineChars="0" w:firstLine="0"/>
              <w:rPr>
                <w:rFonts w:ascii="微軟正黑體" w:eastAsia="微軟正黑體" w:hAnsi="微軟正黑體" w:cs="Arial"/>
                <w:bCs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  <w:p w:rsidR="007F401B" w:rsidRDefault="00C63B53" w:rsidP="00C63B53">
            <w:pPr>
              <w:snapToGrid w:val="0"/>
              <w:ind w:leftChars="0" w:left="0" w:firstLineChars="0" w:firstLine="0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</w:t>
            </w:r>
            <w:r w:rsidRPr="00EB12EC">
              <w:rPr>
                <w:rFonts w:ascii="微軟正黑體" w:eastAsia="微軟正黑體" w:hAnsi="微軟正黑體" w:cs="Arial" w:hint="eastAsia"/>
              </w:rPr>
              <w:t>5常見電池的原理與設計</w:t>
            </w:r>
          </w:p>
          <w:p w:rsidR="00C63B53" w:rsidRPr="00EB12EC" w:rsidRDefault="00C63B53" w:rsidP="00C63B53">
            <w:pPr>
              <w:snapToGrid w:val="0"/>
              <w:ind w:leftChars="0" w:left="0" w:firstLineChars="0" w:firstLine="0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1-6</w:t>
            </w:r>
            <w:r w:rsidRPr="00EB12EC">
              <w:rPr>
                <w:rFonts w:ascii="微軟正黑體" w:eastAsia="微軟正黑體" w:hAnsi="微軟正黑體" w:cs="Arial" w:hint="eastAsia"/>
              </w:rPr>
              <w:t>電解與電鍍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63B53" w:rsidRDefault="00C63B53" w:rsidP="00C63B53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/>
              </w:rPr>
              <w:t>1-6</w:t>
            </w:r>
            <w:r w:rsidRPr="00EB12EC">
              <w:rPr>
                <w:rFonts w:ascii="微軟正黑體" w:eastAsia="微軟正黑體" w:hAnsi="微軟正黑體" w:cs="Arial" w:hint="eastAsia"/>
              </w:rPr>
              <w:t>電解與電鍍</w:t>
            </w:r>
          </w:p>
          <w:p w:rsidR="0079720A" w:rsidRPr="00966356" w:rsidRDefault="0079720A" w:rsidP="00CD4AA3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35B9" w:rsidRPr="003456BC" w:rsidRDefault="00CD4AA3" w:rsidP="00017F24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  <w:p w:rsidR="00C63B53" w:rsidRDefault="00017F24" w:rsidP="00017F24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="00C63B53"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="00C63B53"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  <w:p w:rsidR="00017F24" w:rsidRPr="00017F24" w:rsidRDefault="00017F24" w:rsidP="00017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-4</w:t>
            </w:r>
            <w:r>
              <w:rPr>
                <w:rFonts w:ascii="微軟正黑體" w:eastAsia="微軟正黑體" w:hAnsi="微軟正黑體" w:cs="Arial" w:hint="eastAsia"/>
              </w:rPr>
              <w:t>配位化合物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3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4第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2次期中考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38D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33FF" w:rsidRPr="00EB12EC" w:rsidRDefault="009E33FF" w:rsidP="009E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bookmarkStart w:id="1" w:name="_heading=h.gjdgxs" w:colFirst="0" w:colLast="0"/>
            <w:bookmarkEnd w:id="1"/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 w:rsidRPr="00EB12EC">
              <w:rPr>
                <w:rFonts w:ascii="微軟正黑體" w:eastAsia="微軟正黑體" w:hAnsi="微軟正黑體" w:cs="Arial" w:hint="eastAsia"/>
              </w:rPr>
              <w:t>2</w:t>
            </w:r>
            <w:r w:rsidRPr="00EB12EC">
              <w:rPr>
                <w:rFonts w:ascii="微軟正黑體" w:eastAsia="微軟正黑體" w:hAnsi="微軟正黑體" w:cs="Arial"/>
              </w:rPr>
              <w:t>-4</w:t>
            </w:r>
            <w:r w:rsidRPr="00EB12EC">
              <w:rPr>
                <w:rFonts w:ascii="微軟正黑體" w:eastAsia="微軟正黑體" w:hAnsi="微軟正黑體" w:cs="Arial" w:hint="eastAsia"/>
              </w:rPr>
              <w:t>配位化合物</w:t>
            </w:r>
          </w:p>
          <w:p w:rsidR="00C63B53" w:rsidRPr="00C73845" w:rsidRDefault="009E33FF" w:rsidP="009E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>
              <w:rPr>
                <w:rFonts w:ascii="微軟正黑體" w:eastAsia="微軟正黑體" w:hAnsi="微軟正黑體" w:cs="Arial"/>
              </w:rPr>
              <w:t>1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>
              <w:rPr>
                <w:rFonts w:ascii="微軟正黑體" w:eastAsia="微軟正黑體" w:hAnsi="微軟正黑體" w:cs="Arial"/>
              </w:rPr>
              <w:t>1</w:t>
            </w:r>
            <w:r>
              <w:rPr>
                <w:rFonts w:ascii="微軟正黑體" w:eastAsia="微軟正黑體" w:hAnsi="微軟正黑體" w:cs="Arial" w:hint="eastAsia"/>
              </w:rPr>
              <w:t>有機化合物的組成與結構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13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3B53" w:rsidRDefault="009E33FF" w:rsidP="009E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="00C63B53"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="00C63B53"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高三第3次模擬考</w:t>
            </w:r>
          </w:p>
          <w:p w:rsidR="00780D8A" w:rsidRDefault="00780D8A" w:rsidP="0078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>
              <w:rPr>
                <w:rFonts w:ascii="微軟正黑體" w:eastAsia="微軟正黑體" w:hAnsi="微軟正黑體" w:cs="Arial"/>
              </w:rPr>
              <w:t>1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>
              <w:rPr>
                <w:rFonts w:ascii="微軟正黑體" w:eastAsia="微軟正黑體" w:hAnsi="微軟正黑體" w:cs="Arial" w:hint="eastAsia"/>
              </w:rPr>
              <w:t>2烴的分類與線角式(鍵線圖)</w:t>
            </w:r>
          </w:p>
          <w:p w:rsidR="003456BC" w:rsidRPr="00780D8A" w:rsidRDefault="003456BC" w:rsidP="0078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>
              <w:rPr>
                <w:rFonts w:ascii="微軟正黑體" w:eastAsia="微軟正黑體" w:hAnsi="微軟正黑體" w:cs="Arial"/>
              </w:rPr>
              <w:t>1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>
              <w:rPr>
                <w:rFonts w:ascii="微軟正黑體" w:eastAsia="微軟正黑體" w:hAnsi="微軟正黑體" w:cs="Arial"/>
              </w:rPr>
              <w:t>3</w:t>
            </w:r>
            <w:r>
              <w:rPr>
                <w:rFonts w:ascii="微軟正黑體" w:eastAsia="微軟正黑體" w:hAnsi="微軟正黑體" w:cs="Arial" w:hint="eastAsia"/>
              </w:rPr>
              <w:t>鏈狀烷類與環烷類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1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6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-1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7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高三第3次模擬考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52DA" w:rsidRDefault="009E52DA" w:rsidP="009E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V </w:t>
            </w:r>
            <w:r>
              <w:rPr>
                <w:rFonts w:ascii="微軟正黑體" w:eastAsia="微軟正黑體" w:hAnsi="微軟正黑體" w:cs="Arial"/>
              </w:rPr>
              <w:t>1</w:t>
            </w:r>
            <w:r w:rsidRPr="00EB12EC">
              <w:rPr>
                <w:rFonts w:ascii="微軟正黑體" w:eastAsia="微軟正黑體" w:hAnsi="微軟正黑體" w:cs="Arial"/>
              </w:rPr>
              <w:t>-</w:t>
            </w:r>
            <w:r>
              <w:rPr>
                <w:rFonts w:ascii="微軟正黑體" w:eastAsia="微軟正黑體" w:hAnsi="微軟正黑體" w:cs="Arial"/>
              </w:rPr>
              <w:t>3</w:t>
            </w:r>
            <w:r>
              <w:rPr>
                <w:rFonts w:ascii="微軟正黑體" w:eastAsia="微軟正黑體" w:hAnsi="微軟正黑體" w:cs="Arial" w:hint="eastAsia"/>
              </w:rPr>
              <w:t>鏈狀烷類與環烷類</w:t>
            </w:r>
          </w:p>
          <w:p w:rsidR="00780D8A" w:rsidRDefault="00780D8A" w:rsidP="00780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/>
                <w:bCs/>
              </w:rPr>
              <w:t>V1</w:t>
            </w:r>
            <w:r w:rsidRPr="00EB12EC">
              <w:rPr>
                <w:rFonts w:ascii="微軟正黑體" w:eastAsia="微軟正黑體" w:hAnsi="微軟正黑體" w:cs="Arial"/>
              </w:rPr>
              <w:t>-4</w:t>
            </w:r>
            <w:r>
              <w:rPr>
                <w:rFonts w:ascii="微軟正黑體" w:eastAsia="微軟正黑體" w:hAnsi="微軟正黑體" w:cs="Arial" w:hint="eastAsia"/>
              </w:rPr>
              <w:t>烯類與炔類</w:t>
            </w:r>
          </w:p>
          <w:p w:rsidR="009E52DA" w:rsidRPr="009E52DA" w:rsidRDefault="009E52DA" w:rsidP="009E52D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63B53" w:rsidRPr="00EB12EC" w:rsidRDefault="000F4424" w:rsidP="000F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30</w:t>
            </w:r>
            <w:r w:rsidR="00C63B53"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31</w:t>
            </w:r>
            <w:r w:rsidR="00C63B53"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  <w:t>高三期末考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3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0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31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高三期末考</w:t>
            </w:r>
          </w:p>
          <w:p w:rsidR="00C63B53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3B53" w:rsidRPr="00EB12EC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53B48">
              <w:rPr>
                <w:rFonts w:ascii="微軟正黑體" w:eastAsia="微軟正黑體" w:hAnsi="微軟正黑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53B48">
              <w:rPr>
                <w:rFonts w:ascii="微軟正黑體" w:eastAsia="微軟正黑體" w:hAnsi="微軟正黑體" w:cs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53B48">
              <w:rPr>
                <w:rFonts w:ascii="微軟正黑體" w:eastAsia="微軟正黑體" w:hAnsi="微軟正黑體" w:cs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53B48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3B53" w:rsidRPr="00EB12EC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  <w:p w:rsidR="00C63B53" w:rsidRPr="00966356" w:rsidRDefault="00153B48" w:rsidP="00153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8</w:t>
            </w:r>
            <w:r w:rsidR="00C63B53"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20</w:t>
            </w:r>
            <w:r w:rsidR="00C63B53"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大學學科能力測驗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18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-2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0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大學學科能力測驗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153B48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153B48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18" w:space="0" w:color="000000"/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5288B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Style w:val="a5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5288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Style w:val="aa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17F24"/>
    <w:rsid w:val="000F4424"/>
    <w:rsid w:val="00153B48"/>
    <w:rsid w:val="001C6F0F"/>
    <w:rsid w:val="002039B7"/>
    <w:rsid w:val="002E6CC2"/>
    <w:rsid w:val="00327CD4"/>
    <w:rsid w:val="003456BC"/>
    <w:rsid w:val="003B04B8"/>
    <w:rsid w:val="00453BDE"/>
    <w:rsid w:val="004E23C5"/>
    <w:rsid w:val="0056071E"/>
    <w:rsid w:val="005A4FB3"/>
    <w:rsid w:val="005A7DDB"/>
    <w:rsid w:val="0075288B"/>
    <w:rsid w:val="00780D8A"/>
    <w:rsid w:val="0079720A"/>
    <w:rsid w:val="007C7243"/>
    <w:rsid w:val="007E7C0A"/>
    <w:rsid w:val="007F401B"/>
    <w:rsid w:val="009438DE"/>
    <w:rsid w:val="00995C45"/>
    <w:rsid w:val="009E33FF"/>
    <w:rsid w:val="009E52DA"/>
    <w:rsid w:val="00A954B2"/>
    <w:rsid w:val="00AC618A"/>
    <w:rsid w:val="00B22C7C"/>
    <w:rsid w:val="00B85D40"/>
    <w:rsid w:val="00C63B53"/>
    <w:rsid w:val="00C97F1A"/>
    <w:rsid w:val="00CD4AA3"/>
    <w:rsid w:val="00CE3049"/>
    <w:rsid w:val="00E15CEC"/>
    <w:rsid w:val="00E40821"/>
    <w:rsid w:val="00E73A07"/>
    <w:rsid w:val="00F835B9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2024-09-05T02:59:00Z</dcterms:created>
  <dcterms:modified xsi:type="dcterms:W3CDTF">2024-09-05T02:59:00Z</dcterms:modified>
</cp:coreProperties>
</file>